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工程名称、建设地址、建设规模、合同价格、合同工期变更材料清单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1.工程名称、建设地址变更，</w:t>
      </w:r>
      <w:r>
        <w:rPr>
          <w:rFonts w:hint="default" w:ascii="仿宋_GB2312" w:hAnsi="仿宋_GB2312" w:eastAsia="仿宋_GB2312" w:cs="仿宋_GB2312"/>
          <w:b/>
          <w:bCs/>
          <w:sz w:val="32"/>
          <w:szCs w:val="32"/>
          <w:lang w:val="en-US" w:eastAsia="zh-CN"/>
        </w:rPr>
        <w:t>建设单位应提交下列文件：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5087"/>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材料名称</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建筑工程施工许可证变更申请表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《关于变更项目名称或建设地址报告》</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经办人身份证明材料</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建设单位授权书以及经办人身份证复印件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变更工程名称或建设地址后的《建设工程规划许可证》</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原已领取的《建筑工程施工许可证》及原《建筑施工许可申请表》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原中标通知书或施工总承包合同以及变更后施工总承包合同或补充协议</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变更工程名称或建设地址后，施工图审查机构对建设单位新送审施工图设计文件出具的《建设工程施工图设计文件审查合格书》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依法依规需要审查的项目</w:t>
            </w:r>
          </w:p>
        </w:tc>
      </w:tr>
    </w:tbl>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2.建设规模、合同价格、合同工期变更，</w:t>
      </w:r>
      <w:r>
        <w:rPr>
          <w:rFonts w:hint="default" w:ascii="仿宋_GB2312" w:hAnsi="仿宋_GB2312" w:eastAsia="仿宋_GB2312" w:cs="仿宋_GB2312"/>
          <w:b/>
          <w:bCs/>
          <w:sz w:val="32"/>
          <w:szCs w:val="32"/>
          <w:lang w:val="en-US" w:eastAsia="zh-CN"/>
        </w:rPr>
        <w:t>建设单位应提交下列文件：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5087"/>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材料名称</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建筑工程施工许可证变更申请表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《关于变更建设规模或合同价格、合同工期的报告》</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经办人身份证明材料</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建设单位授权书以及经办人身份证复印件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审批单位盖章的情况说明</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特殊原因导致数据错误或缺失的，需提供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原已领取的《建筑工程施工许可证》及原《建筑施工许可申请表》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原中标通知书或施工承包合同以及变更后施工承包合同或补充合同</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变更建设规模后的建设工程规划许可证</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变更建筑单体名称、建设规模的，应提供变更后的建筑工程规划许可证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变更建设规模、建筑单体名称后，施工图审查机构对建设单位新送审施工图设计文件出具的施工图审查合格意见书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依法依规需审查的项目，变更建筑单体名称、建设规模的，应提供变更后的施工图审查合格意见书</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p>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F5BD0"/>
    <w:rsid w:val="3EAB0813"/>
    <w:rsid w:val="53FEF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2025-05-07T15:51:40Z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