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napToGrid w:val="0"/>
          <w:kern w:val="0"/>
          <w:sz w:val="44"/>
          <w:szCs w:val="44"/>
          <w:highlight w:val="none"/>
          <w:u w:val="none"/>
        </w:rPr>
      </w:pPr>
      <w:bookmarkStart w:id="0" w:name="_GoBack"/>
      <w:r>
        <w:rPr>
          <w:rFonts w:hint="eastAsia" w:ascii="方正小标宋简体" w:hAnsi="方正小标宋简体" w:eastAsia="方正小标宋简体" w:cs="方正小标宋简体"/>
          <w:b/>
          <w:bCs/>
          <w:snapToGrid w:val="0"/>
          <w:kern w:val="0"/>
          <w:sz w:val="44"/>
          <w:szCs w:val="44"/>
          <w:highlight w:val="none"/>
          <w:u w:val="none"/>
        </w:rPr>
        <w:t>南昌市城市地下综合管廊管理办法</w:t>
      </w:r>
    </w:p>
    <w:p>
      <w:pPr>
        <w:jc w:val="center"/>
        <w:rPr>
          <w:rFonts w:ascii="仿宋" w:hAnsi="仿宋" w:eastAsia="仿宋" w:cs="仿宋"/>
          <w:snapToGrid w:val="0"/>
          <w:kern w:val="0"/>
          <w:sz w:val="32"/>
          <w:szCs w:val="32"/>
          <w:highlight w:val="none"/>
          <w:u w:val="none"/>
        </w:rPr>
      </w:pPr>
      <w:r>
        <w:rPr>
          <w:rFonts w:hint="eastAsia" w:ascii="仿宋" w:hAnsi="仿宋" w:eastAsia="仿宋" w:cs="仿宋"/>
          <w:snapToGrid w:val="0"/>
          <w:kern w:val="0"/>
          <w:sz w:val="32"/>
          <w:szCs w:val="32"/>
          <w:highlight w:val="none"/>
          <w:u w:val="none"/>
        </w:rPr>
        <w:t>（</w:t>
      </w:r>
      <w:r>
        <w:rPr>
          <w:rFonts w:hint="eastAsia" w:ascii="仿宋" w:hAnsi="仿宋" w:eastAsia="仿宋" w:cs="仿宋"/>
          <w:snapToGrid w:val="0"/>
          <w:kern w:val="0"/>
          <w:sz w:val="32"/>
          <w:szCs w:val="32"/>
          <w:highlight w:val="none"/>
          <w:u w:val="none"/>
          <w:lang w:eastAsia="zh-CN"/>
        </w:rPr>
        <w:t>公开</w:t>
      </w:r>
      <w:r>
        <w:rPr>
          <w:rFonts w:hint="eastAsia" w:ascii="仿宋" w:hAnsi="仿宋" w:eastAsia="仿宋" w:cs="仿宋"/>
          <w:snapToGrid w:val="0"/>
          <w:kern w:val="0"/>
          <w:sz w:val="32"/>
          <w:szCs w:val="32"/>
          <w:highlight w:val="none"/>
          <w:u w:val="none"/>
          <w:lang w:val="en-US" w:eastAsia="zh-CN"/>
        </w:rPr>
        <w:t>征求意见稿</w:t>
      </w:r>
      <w:r>
        <w:rPr>
          <w:rFonts w:hint="eastAsia" w:ascii="仿宋" w:hAnsi="仿宋" w:eastAsia="仿宋" w:cs="仿宋"/>
          <w:snapToGrid w:val="0"/>
          <w:kern w:val="0"/>
          <w:sz w:val="32"/>
          <w:szCs w:val="32"/>
          <w:highlight w:val="none"/>
          <w:u w:val="none"/>
        </w:rPr>
        <w:t>）</w:t>
      </w:r>
      <w:bookmarkEnd w:id="0"/>
    </w:p>
    <w:p>
      <w:pPr>
        <w:jc w:val="both"/>
        <w:rPr>
          <w:highlight w:val="none"/>
          <w:u w:val="none"/>
        </w:rPr>
      </w:pPr>
    </w:p>
    <w:p>
      <w:pPr>
        <w:numPr>
          <w:ilvl w:val="0"/>
          <w:numId w:val="1"/>
        </w:numPr>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总则</w:t>
      </w:r>
    </w:p>
    <w:p>
      <w:pPr>
        <w:widowControl/>
        <w:kinsoku w:val="0"/>
        <w:autoSpaceDE w:val="0"/>
        <w:autoSpaceDN w:val="0"/>
        <w:adjustRightInd w:val="0"/>
        <w:snapToGrid w:val="0"/>
        <w:spacing w:line="360" w:lineRule="auto"/>
        <w:ind w:firstLine="643" w:firstLineChars="200"/>
        <w:textAlignment w:val="baseline"/>
        <w:rPr>
          <w:rFonts w:ascii="仿宋" w:hAnsi="仿宋" w:eastAsia="仿宋" w:cs="Times New Roman"/>
          <w:sz w:val="32"/>
          <w:szCs w:val="32"/>
          <w:highlight w:val="none"/>
          <w:u w:val="none"/>
        </w:rPr>
      </w:pPr>
      <w:r>
        <w:rPr>
          <w:rFonts w:hint="eastAsia" w:ascii="仿宋" w:hAnsi="仿宋" w:eastAsia="仿宋" w:cs="仿宋"/>
          <w:b/>
          <w:bCs/>
          <w:sz w:val="32"/>
          <w:szCs w:val="32"/>
          <w:highlight w:val="none"/>
          <w:u w:val="none"/>
        </w:rPr>
        <w:t xml:space="preserve">第一条 </w:t>
      </w:r>
      <w:r>
        <w:rPr>
          <w:rFonts w:hint="eastAsia" w:ascii="仿宋" w:hAnsi="仿宋" w:eastAsia="仿宋" w:cs="Times New Roman"/>
          <w:sz w:val="32"/>
          <w:szCs w:val="32"/>
          <w:highlight w:val="none"/>
          <w:u w:val="none"/>
        </w:rPr>
        <w:t>为规范城市地下综合管廊规划、建设、管理等工作，合理利用城市地下空间，提高城市综合承载能力，根据《中华人民共和国城乡规划法》</w:t>
      </w:r>
      <w:r>
        <w:rPr>
          <w:rFonts w:hint="eastAsia" w:ascii="仿宋" w:hAnsi="仿宋" w:eastAsia="仿宋" w:cs="Times New Roman"/>
          <w:sz w:val="32"/>
          <w:szCs w:val="32"/>
          <w:highlight w:val="none"/>
          <w:u w:val="none"/>
          <w:lang w:eastAsia="zh-CN"/>
        </w:rPr>
        <w:t>、</w:t>
      </w:r>
      <w:r>
        <w:rPr>
          <w:rFonts w:hint="eastAsia" w:ascii="仿宋" w:hAnsi="仿宋" w:eastAsia="仿宋" w:cs="Times New Roman"/>
          <w:sz w:val="32"/>
          <w:szCs w:val="32"/>
          <w:highlight w:val="none"/>
          <w:u w:val="none"/>
        </w:rPr>
        <w:t>《中华人民共和国建筑法》</w:t>
      </w:r>
      <w:r>
        <w:rPr>
          <w:rFonts w:hint="eastAsia" w:ascii="仿宋" w:hAnsi="仿宋" w:eastAsia="仿宋" w:cs="Times New Roman"/>
          <w:sz w:val="32"/>
          <w:szCs w:val="32"/>
          <w:highlight w:val="none"/>
          <w:u w:val="none"/>
          <w:lang w:eastAsia="zh-CN"/>
        </w:rPr>
        <w:t>、</w:t>
      </w:r>
      <w:r>
        <w:rPr>
          <w:rFonts w:hint="eastAsia" w:ascii="仿宋" w:hAnsi="仿宋" w:eastAsia="仿宋" w:cs="Times New Roman"/>
          <w:sz w:val="32"/>
          <w:szCs w:val="32"/>
          <w:highlight w:val="none"/>
          <w:u w:val="none"/>
        </w:rPr>
        <w:t>《国务院办公厅关于推进城市地下综合管廊建设的指导意见》（国办发〔2015〕61号）、《国家发展改革委、住房和城乡建设部关于城市地下综合管廊实行有偿使用制度的指导意见》（发改价格〔2015〕2754号）</w:t>
      </w:r>
      <w:r>
        <w:rPr>
          <w:rFonts w:hint="eastAsia" w:ascii="仿宋" w:hAnsi="仿宋" w:eastAsia="仿宋" w:cs="Times New Roman"/>
          <w:sz w:val="32"/>
          <w:szCs w:val="32"/>
          <w:highlight w:val="none"/>
          <w:u w:val="none"/>
          <w:lang w:eastAsia="zh-CN"/>
        </w:rPr>
        <w:t>、</w:t>
      </w:r>
      <w:r>
        <w:rPr>
          <w:rFonts w:hint="eastAsia" w:ascii="仿宋" w:hAnsi="仿宋" w:eastAsia="仿宋" w:cs="Times New Roman"/>
          <w:sz w:val="32"/>
          <w:szCs w:val="32"/>
          <w:highlight w:val="none"/>
          <w:u w:val="none"/>
        </w:rPr>
        <w:t>《住房和城乡建设部办公厅关于印发城市地下综合管廊建设规划技术导则的通知》（建办城函〔2023〕134号）、《国家发展改革委 住房城乡建设部关于做好城市地下综合管廊收费情况有关工作的通知》（发改价格〔2023〕1731号）等相关法律规定,结合本市实际,制定本办法。</w:t>
      </w:r>
    </w:p>
    <w:p>
      <w:pPr>
        <w:widowControl/>
        <w:kinsoku w:val="0"/>
        <w:autoSpaceDE w:val="0"/>
        <w:autoSpaceDN w:val="0"/>
        <w:adjustRightInd w:val="0"/>
        <w:snapToGrid w:val="0"/>
        <w:spacing w:line="360" w:lineRule="auto"/>
        <w:ind w:firstLine="643" w:firstLineChars="200"/>
        <w:textAlignment w:val="baseline"/>
        <w:rPr>
          <w:rFonts w:ascii="仿宋" w:hAnsi="仿宋" w:eastAsia="仿宋" w:cs="Times New Roman"/>
          <w:sz w:val="32"/>
          <w:szCs w:val="32"/>
          <w:highlight w:val="none"/>
          <w:u w:val="none"/>
        </w:rPr>
      </w:pPr>
      <w:r>
        <w:rPr>
          <w:rFonts w:hint="eastAsia" w:ascii="仿宋" w:hAnsi="仿宋" w:eastAsia="仿宋" w:cs="仿宋"/>
          <w:b/>
          <w:bCs/>
          <w:sz w:val="32"/>
          <w:szCs w:val="32"/>
          <w:highlight w:val="none"/>
          <w:u w:val="none"/>
        </w:rPr>
        <w:t>第二条</w:t>
      </w:r>
      <w:r>
        <w:rPr>
          <w:rFonts w:hint="eastAsia" w:ascii="仿宋" w:hAnsi="仿宋" w:eastAsia="仿宋" w:cs="仿宋"/>
          <w:sz w:val="32"/>
          <w:szCs w:val="32"/>
          <w:highlight w:val="none"/>
          <w:u w:val="none"/>
        </w:rPr>
        <w:t xml:space="preserve"> </w:t>
      </w:r>
      <w:r>
        <w:rPr>
          <w:rFonts w:hint="eastAsia" w:ascii="仿宋" w:hAnsi="仿宋" w:eastAsia="仿宋" w:cs="Times New Roman"/>
          <w:sz w:val="32"/>
          <w:szCs w:val="32"/>
          <w:highlight w:val="none"/>
          <w:u w:val="none"/>
        </w:rPr>
        <w:t>本办法适用于本市行政域内城市地下综合管廊的规划、建设、运营维护管理。</w:t>
      </w:r>
    </w:p>
    <w:p>
      <w:pPr>
        <w:widowControl/>
        <w:kinsoku w:val="0"/>
        <w:autoSpaceDE w:val="0"/>
        <w:autoSpaceDN w:val="0"/>
        <w:adjustRightInd w:val="0"/>
        <w:snapToGrid w:val="0"/>
        <w:spacing w:line="360" w:lineRule="auto"/>
        <w:ind w:firstLine="643" w:firstLineChars="200"/>
        <w:textAlignment w:val="baseline"/>
        <w:rPr>
          <w:rFonts w:ascii="仿宋" w:hAnsi="仿宋" w:eastAsia="仿宋" w:cs="Times New Roman"/>
          <w:sz w:val="32"/>
          <w:szCs w:val="32"/>
          <w:highlight w:val="none"/>
          <w:u w:val="none"/>
        </w:rPr>
      </w:pPr>
      <w:r>
        <w:rPr>
          <w:rFonts w:hint="eastAsia" w:ascii="仿宋" w:hAnsi="仿宋" w:eastAsia="仿宋" w:cs="仿宋"/>
          <w:b/>
          <w:bCs/>
          <w:sz w:val="32"/>
          <w:szCs w:val="32"/>
          <w:highlight w:val="none"/>
          <w:u w:val="none"/>
        </w:rPr>
        <w:t>第三条</w:t>
      </w:r>
      <w:r>
        <w:rPr>
          <w:rFonts w:hint="eastAsia" w:ascii="仿宋" w:hAnsi="仿宋" w:eastAsia="仿宋" w:cs="仿宋"/>
          <w:sz w:val="32"/>
          <w:szCs w:val="32"/>
          <w:highlight w:val="none"/>
          <w:u w:val="none"/>
        </w:rPr>
        <w:t xml:space="preserve"> </w:t>
      </w:r>
      <w:r>
        <w:rPr>
          <w:rFonts w:ascii="仿宋" w:hAnsi="仿宋" w:eastAsia="仿宋" w:cs="Times New Roman"/>
          <w:sz w:val="32"/>
          <w:szCs w:val="32"/>
          <w:highlight w:val="none"/>
          <w:u w:val="none"/>
        </w:rPr>
        <w:t>本办法所称</w:t>
      </w:r>
      <w:r>
        <w:rPr>
          <w:rFonts w:hint="eastAsia" w:ascii="仿宋" w:hAnsi="仿宋" w:eastAsia="仿宋" w:cs="Times New Roman"/>
          <w:sz w:val="32"/>
          <w:szCs w:val="32"/>
          <w:highlight w:val="none"/>
          <w:u w:val="none"/>
        </w:rPr>
        <w:t>的</w:t>
      </w:r>
      <w:r>
        <w:rPr>
          <w:rFonts w:ascii="仿宋" w:hAnsi="仿宋" w:eastAsia="仿宋" w:cs="Times New Roman"/>
          <w:sz w:val="32"/>
          <w:szCs w:val="32"/>
          <w:highlight w:val="none"/>
          <w:u w:val="none"/>
        </w:rPr>
        <w:t>地下综合管廊（以下简称管廊），是指建于城市地下用于容纳两类及以上城市工程管线的构筑物及附属设施。</w:t>
      </w:r>
    </w:p>
    <w:p>
      <w:pPr>
        <w:widowControl/>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本办法所称的管廊本体，是指综合管廊的结构主体及人员出入口、吊装口、逃生口、通风口、管线分支口、支吊架、防排水设施、检修道及风道等构筑物。</w:t>
      </w:r>
    </w:p>
    <w:p>
      <w:pPr>
        <w:widowControl/>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本办法所称的附属设施，是指用于保障综合管廊本体、内部环境、入廊管线稳定运行和人员安全，配套建设的消防、通风、供电、照明、监控与报警、给水排水和标识等设施。</w:t>
      </w:r>
    </w:p>
    <w:p>
      <w:pPr>
        <w:widowControl/>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本办法所称</w:t>
      </w:r>
      <w:r>
        <w:rPr>
          <w:rFonts w:hint="eastAsia" w:ascii="仿宋" w:hAnsi="仿宋" w:eastAsia="仿宋" w:cs="Times New Roman"/>
          <w:sz w:val="32"/>
          <w:szCs w:val="32"/>
          <w:highlight w:val="none"/>
          <w:u w:val="none"/>
        </w:rPr>
        <w:t>的城市工程</w:t>
      </w:r>
      <w:r>
        <w:rPr>
          <w:rFonts w:ascii="仿宋" w:hAnsi="仿宋" w:eastAsia="仿宋" w:cs="Times New Roman"/>
          <w:sz w:val="32"/>
          <w:szCs w:val="32"/>
          <w:highlight w:val="none"/>
          <w:u w:val="none"/>
        </w:rPr>
        <w:t>管线（以下简称管线），是指城市范围内为满足市民生活、生产需要</w:t>
      </w:r>
      <w:r>
        <w:rPr>
          <w:rFonts w:hint="eastAsia" w:ascii="仿宋" w:hAnsi="仿宋" w:eastAsia="仿宋" w:cs="Times New Roman"/>
          <w:sz w:val="32"/>
          <w:szCs w:val="32"/>
          <w:highlight w:val="none"/>
          <w:u w:val="none"/>
        </w:rPr>
        <w:t>，敷设的</w:t>
      </w:r>
      <w:r>
        <w:rPr>
          <w:rFonts w:ascii="仿宋" w:hAnsi="仿宋" w:eastAsia="仿宋" w:cs="Times New Roman"/>
          <w:sz w:val="32"/>
          <w:szCs w:val="32"/>
          <w:highlight w:val="none"/>
          <w:u w:val="none"/>
        </w:rPr>
        <w:t>给水、</w:t>
      </w:r>
      <w:r>
        <w:rPr>
          <w:rFonts w:hint="eastAsia" w:ascii="仿宋" w:hAnsi="仿宋" w:eastAsia="仿宋" w:cs="Times New Roman"/>
          <w:sz w:val="32"/>
          <w:szCs w:val="32"/>
          <w:highlight w:val="none"/>
          <w:u w:val="none"/>
        </w:rPr>
        <w:t>雨水、污水、排水、再生水、天</w:t>
      </w:r>
      <w:r>
        <w:rPr>
          <w:rFonts w:ascii="仿宋" w:hAnsi="仿宋" w:eastAsia="仿宋" w:cs="Times New Roman"/>
          <w:sz w:val="32"/>
          <w:szCs w:val="32"/>
          <w:highlight w:val="none"/>
          <w:u w:val="none"/>
        </w:rPr>
        <w:t>燃气、电力、通信</w:t>
      </w:r>
      <w:r>
        <w:rPr>
          <w:rFonts w:hint="eastAsia" w:ascii="仿宋" w:hAnsi="仿宋" w:eastAsia="仿宋" w:cs="Times New Roman"/>
          <w:sz w:val="32"/>
          <w:szCs w:val="32"/>
          <w:highlight w:val="none"/>
          <w:u w:val="none"/>
        </w:rPr>
        <w:t>、公共视频监控</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照明、</w:t>
      </w:r>
      <w:r>
        <w:rPr>
          <w:rFonts w:ascii="仿宋" w:hAnsi="仿宋" w:eastAsia="仿宋" w:cs="Times New Roman"/>
          <w:sz w:val="32"/>
          <w:szCs w:val="32"/>
          <w:highlight w:val="none"/>
          <w:u w:val="none"/>
        </w:rPr>
        <w:t>广播电视、交通信号</w:t>
      </w:r>
      <w:r>
        <w:rPr>
          <w:rFonts w:hint="eastAsia" w:ascii="仿宋" w:hAnsi="仿宋" w:eastAsia="仿宋" w:cs="Times New Roman"/>
          <w:sz w:val="32"/>
          <w:szCs w:val="32"/>
          <w:highlight w:val="none"/>
          <w:u w:val="none"/>
        </w:rPr>
        <w:t>各类</w:t>
      </w:r>
      <w:r>
        <w:rPr>
          <w:rFonts w:ascii="仿宋" w:hAnsi="仿宋" w:eastAsia="仿宋" w:cs="Times New Roman"/>
          <w:sz w:val="32"/>
          <w:szCs w:val="32"/>
          <w:highlight w:val="none"/>
          <w:u w:val="none"/>
        </w:rPr>
        <w:t>等</w:t>
      </w:r>
      <w:r>
        <w:rPr>
          <w:rFonts w:hint="eastAsia" w:ascii="仿宋" w:hAnsi="仿宋" w:eastAsia="仿宋" w:cs="Times New Roman"/>
          <w:sz w:val="32"/>
          <w:szCs w:val="32"/>
          <w:highlight w:val="none"/>
          <w:u w:val="none"/>
        </w:rPr>
        <w:t>市政公用</w:t>
      </w:r>
      <w:r>
        <w:rPr>
          <w:rFonts w:ascii="仿宋" w:hAnsi="仿宋" w:eastAsia="仿宋" w:cs="Times New Roman"/>
          <w:sz w:val="32"/>
          <w:szCs w:val="32"/>
          <w:highlight w:val="none"/>
          <w:u w:val="none"/>
        </w:rPr>
        <w:t>管线</w:t>
      </w:r>
      <w:r>
        <w:rPr>
          <w:rFonts w:hint="eastAsia" w:ascii="仿宋" w:hAnsi="仿宋" w:eastAsia="仿宋" w:cs="Times New Roman"/>
          <w:sz w:val="32"/>
          <w:szCs w:val="32"/>
          <w:highlight w:val="none"/>
          <w:u w:val="none"/>
        </w:rPr>
        <w:t>，不包含工业管线</w:t>
      </w:r>
      <w:r>
        <w:rPr>
          <w:rFonts w:ascii="仿宋" w:hAnsi="仿宋" w:eastAsia="仿宋" w:cs="Times New Roman"/>
          <w:sz w:val="32"/>
          <w:szCs w:val="32"/>
          <w:highlight w:val="none"/>
          <w:u w:val="none"/>
        </w:rPr>
        <w:t>。</w:t>
      </w:r>
    </w:p>
    <w:p>
      <w:pPr>
        <w:widowControl/>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本办法所称的入廊管线单位</w:t>
      </w:r>
      <w:r>
        <w:rPr>
          <w:rFonts w:ascii="仿宋" w:hAnsi="仿宋" w:eastAsia="仿宋" w:cs="Times New Roman"/>
          <w:sz w:val="32"/>
          <w:szCs w:val="32"/>
          <w:highlight w:val="none"/>
          <w:u w:val="none"/>
        </w:rPr>
        <w:t>（以下简称</w:t>
      </w:r>
      <w:r>
        <w:rPr>
          <w:rFonts w:hint="eastAsia" w:ascii="仿宋" w:hAnsi="仿宋" w:eastAsia="仿宋" w:cs="Times New Roman"/>
          <w:sz w:val="32"/>
          <w:szCs w:val="32"/>
          <w:highlight w:val="none"/>
          <w:u w:val="none"/>
        </w:rPr>
        <w:t>管线单位</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，是指入廊管线的运营或权属单位。</w:t>
      </w:r>
    </w:p>
    <w:p>
      <w:pPr>
        <w:widowControl/>
        <w:kinsoku w:val="0"/>
        <w:autoSpaceDE w:val="0"/>
        <w:autoSpaceDN w:val="0"/>
        <w:adjustRightInd w:val="0"/>
        <w:snapToGrid w:val="0"/>
        <w:spacing w:line="360" w:lineRule="auto"/>
        <w:ind w:firstLine="640" w:firstLineChars="200"/>
        <w:textAlignment w:val="baseline"/>
        <w:rPr>
          <w:rFonts w:ascii="仿宋" w:hAnsi="仿宋" w:eastAsia="仿宋" w:cs="Times New Roman"/>
          <w:strike w:val="0"/>
          <w:dstrike w:val="0"/>
          <w:sz w:val="32"/>
          <w:szCs w:val="32"/>
          <w:highlight w:val="none"/>
          <w:u w:val="none"/>
        </w:rPr>
      </w:pPr>
      <w:r>
        <w:rPr>
          <w:rFonts w:hint="eastAsia" w:ascii="仿宋" w:hAnsi="仿宋" w:eastAsia="仿宋" w:cs="Times New Roman"/>
          <w:strike w:val="0"/>
          <w:dstrike w:val="0"/>
          <w:sz w:val="32"/>
          <w:szCs w:val="32"/>
          <w:highlight w:val="none"/>
          <w:u w:val="none"/>
        </w:rPr>
        <w:t>本办法所称的入廊管线管理单位</w:t>
      </w:r>
      <w:r>
        <w:rPr>
          <w:rFonts w:ascii="仿宋" w:hAnsi="仿宋" w:eastAsia="仿宋" w:cs="Times New Roman"/>
          <w:strike w:val="0"/>
          <w:dstrike w:val="0"/>
          <w:sz w:val="32"/>
          <w:szCs w:val="32"/>
          <w:highlight w:val="none"/>
          <w:u w:val="none"/>
        </w:rPr>
        <w:t>（以下简称</w:t>
      </w:r>
      <w:r>
        <w:rPr>
          <w:rFonts w:hint="eastAsia" w:ascii="仿宋" w:hAnsi="仿宋" w:eastAsia="仿宋" w:cs="Times New Roman"/>
          <w:strike w:val="0"/>
          <w:dstrike w:val="0"/>
          <w:sz w:val="32"/>
          <w:szCs w:val="32"/>
          <w:highlight w:val="none"/>
          <w:u w:val="none"/>
        </w:rPr>
        <w:t>管线管理单位</w:t>
      </w:r>
      <w:r>
        <w:rPr>
          <w:rFonts w:ascii="仿宋" w:hAnsi="仿宋" w:eastAsia="仿宋" w:cs="Times New Roman"/>
          <w:strike w:val="0"/>
          <w:dstrike w:val="0"/>
          <w:sz w:val="32"/>
          <w:szCs w:val="32"/>
          <w:highlight w:val="none"/>
          <w:u w:val="none"/>
        </w:rPr>
        <w:t>）</w:t>
      </w:r>
      <w:r>
        <w:rPr>
          <w:rFonts w:hint="eastAsia" w:ascii="仿宋" w:hAnsi="仿宋" w:eastAsia="仿宋" w:cs="Times New Roman"/>
          <w:strike w:val="0"/>
          <w:dstrike w:val="0"/>
          <w:sz w:val="32"/>
          <w:szCs w:val="32"/>
          <w:highlight w:val="none"/>
          <w:u w:val="none"/>
        </w:rPr>
        <w:t>，是指入廊管线单位行业主管或监督管理的单位。</w:t>
      </w:r>
    </w:p>
    <w:p>
      <w:pPr>
        <w:widowControl/>
        <w:kinsoku w:val="0"/>
        <w:autoSpaceDE w:val="0"/>
        <w:autoSpaceDN w:val="0"/>
        <w:adjustRightInd w:val="0"/>
        <w:snapToGrid w:val="0"/>
        <w:spacing w:line="360" w:lineRule="auto"/>
        <w:ind w:firstLine="669"/>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本办法所称的管廊运营管理单位</w:t>
      </w:r>
      <w:r>
        <w:rPr>
          <w:rFonts w:ascii="仿宋" w:hAnsi="仿宋" w:eastAsia="仿宋" w:cs="Times New Roman"/>
          <w:sz w:val="32"/>
          <w:szCs w:val="32"/>
          <w:highlight w:val="none"/>
          <w:u w:val="none"/>
        </w:rPr>
        <w:t>（以下简称</w:t>
      </w:r>
      <w:r>
        <w:rPr>
          <w:rFonts w:hint="eastAsia" w:ascii="仿宋" w:hAnsi="仿宋" w:eastAsia="仿宋" w:cs="Times New Roman"/>
          <w:sz w:val="32"/>
          <w:szCs w:val="32"/>
          <w:highlight w:val="none"/>
          <w:u w:val="none"/>
          <w:lang w:eastAsia="zh-CN"/>
        </w:rPr>
        <w:t>运营单位</w:t>
      </w:r>
      <w:r>
        <w:rPr>
          <w:rFonts w:ascii="仿宋" w:hAnsi="仿宋" w:eastAsia="仿宋" w:cs="Times New Roman"/>
          <w:sz w:val="32"/>
          <w:szCs w:val="32"/>
          <w:highlight w:val="none"/>
          <w:u w:val="none"/>
        </w:rPr>
        <w:t>）</w:t>
      </w:r>
      <w:r>
        <w:rPr>
          <w:rFonts w:hint="eastAsia" w:ascii="仿宋" w:hAnsi="仿宋" w:eastAsia="仿宋" w:cs="Times New Roman"/>
          <w:sz w:val="32"/>
          <w:szCs w:val="32"/>
          <w:highlight w:val="none"/>
          <w:u w:val="none"/>
        </w:rPr>
        <w:t>，是指保障综合管廊本体、附属设施运营、维护及安全管理的单位。</w:t>
      </w:r>
    </w:p>
    <w:p>
      <w:pPr>
        <w:widowControl/>
        <w:numPr>
          <w:ilvl w:val="0"/>
          <w:numId w:val="2"/>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地下综合管廊的规划、建设、管理和运营维护，应当遵循政府主导、市场运作、规划先行、统筹建设、信息共享、</w:t>
      </w:r>
      <w:r>
        <w:rPr>
          <w:rFonts w:ascii="仿宋" w:hAnsi="仿宋" w:eastAsia="仿宋" w:cs="Times New Roman"/>
          <w:sz w:val="32"/>
          <w:szCs w:val="32"/>
          <w:highlight w:val="none"/>
          <w:u w:val="none"/>
        </w:rPr>
        <w:t>强制入廊</w:t>
      </w:r>
      <w:r>
        <w:rPr>
          <w:rFonts w:hint="eastAsia" w:ascii="仿宋" w:hAnsi="仿宋" w:eastAsia="仿宋" w:cs="Times New Roman"/>
          <w:sz w:val="32"/>
          <w:szCs w:val="32"/>
          <w:highlight w:val="none"/>
          <w:u w:val="none"/>
        </w:rPr>
        <w:t>和有偿使用的原则。</w:t>
      </w:r>
    </w:p>
    <w:p>
      <w:pPr>
        <w:widowControl/>
        <w:numPr>
          <w:ilvl w:val="0"/>
          <w:numId w:val="2"/>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市、区人民政府应加强对管廊建设和维护资金的合理安排，推进政府与社会资本合作，鼓励社会资本、入廊管线单位以及管廊运营管理单位参与管廊的投资建设。</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管廊建设单位的确定按照《政府投资条例》(2019年中华人民共和国国务院令第712 号)、《财政部关于印发政府和社会资本合作模式操作指南(试行)的通知》(财金〔2014〕113号)和《南昌市人民政府关于印发南昌市政府投资项目管理办法的通知》(洪府发〔2022〕7号)有关规定执行</w:t>
      </w:r>
      <w:r>
        <w:rPr>
          <w:rFonts w:hint="eastAsia" w:ascii="仿宋" w:hAnsi="仿宋" w:eastAsia="仿宋" w:cs="Times New Roman"/>
          <w:sz w:val="32"/>
          <w:szCs w:val="32"/>
          <w:highlight w:val="none"/>
          <w:u w:val="none"/>
          <w:lang w:eastAsia="zh-CN"/>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政府全额出资建设的管廊，由市人民政府确定的</w:t>
      </w:r>
      <w:r>
        <w:rPr>
          <w:rFonts w:hint="eastAsia" w:ascii="仿宋" w:hAnsi="仿宋" w:eastAsia="仿宋" w:cs="Times New Roman"/>
          <w:sz w:val="32"/>
          <w:szCs w:val="32"/>
          <w:highlight w:val="none"/>
          <w:u w:val="none"/>
          <w:lang w:eastAsia="zh-CN"/>
        </w:rPr>
        <w:t>运营单位</w:t>
      </w:r>
      <w:r>
        <w:rPr>
          <w:rFonts w:hint="eastAsia" w:ascii="仿宋" w:hAnsi="仿宋" w:eastAsia="仿宋" w:cs="Times New Roman"/>
          <w:sz w:val="32"/>
          <w:szCs w:val="32"/>
          <w:highlight w:val="none"/>
          <w:u w:val="none"/>
        </w:rPr>
        <w:t>统一负责管廊运营维护；政府与社会资本合作投资、社会资本投资建设的管廊，由协议确定的</w:t>
      </w:r>
      <w:r>
        <w:rPr>
          <w:rFonts w:hint="eastAsia" w:ascii="仿宋" w:hAnsi="仿宋" w:eastAsia="仿宋" w:cs="Times New Roman"/>
          <w:sz w:val="32"/>
          <w:szCs w:val="32"/>
          <w:highlight w:val="none"/>
          <w:u w:val="none"/>
          <w:lang w:eastAsia="zh-CN"/>
        </w:rPr>
        <w:t>运营单位</w:t>
      </w:r>
      <w:r>
        <w:rPr>
          <w:rFonts w:hint="eastAsia" w:ascii="仿宋" w:hAnsi="仿宋" w:eastAsia="仿宋" w:cs="Times New Roman"/>
          <w:sz w:val="32"/>
          <w:szCs w:val="32"/>
          <w:highlight w:val="none"/>
          <w:u w:val="none"/>
        </w:rPr>
        <w:t>负责管廊运营维护。</w:t>
      </w:r>
    </w:p>
    <w:p>
      <w:pPr>
        <w:widowControl/>
        <w:numPr>
          <w:ilvl w:val="0"/>
          <w:numId w:val="0"/>
        </w:numPr>
        <w:kinsoku w:val="0"/>
        <w:autoSpaceDE w:val="0"/>
        <w:autoSpaceDN w:val="0"/>
        <w:adjustRightInd w:val="0"/>
        <w:snapToGrid w:val="0"/>
        <w:spacing w:line="360" w:lineRule="auto"/>
        <w:jc w:val="both"/>
        <w:textAlignment w:val="baseline"/>
        <w:rPr>
          <w:rFonts w:ascii="仿宋" w:hAnsi="仿宋" w:eastAsia="仿宋" w:cs="Times New Roman"/>
          <w:sz w:val="32"/>
          <w:szCs w:val="32"/>
          <w:highlight w:val="none"/>
          <w:u w:val="none"/>
        </w:rPr>
      </w:pPr>
    </w:p>
    <w:p>
      <w:pPr>
        <w:numPr>
          <w:ilvl w:val="0"/>
          <w:numId w:val="1"/>
        </w:numPr>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责任单位职责分工</w:t>
      </w:r>
    </w:p>
    <w:p>
      <w:pPr>
        <w:numPr>
          <w:ilvl w:val="0"/>
          <w:numId w:val="3"/>
        </w:numPr>
        <w:ind w:firstLine="640" w:firstLineChars="200"/>
        <w:rPr>
          <w:rFonts w:ascii="仿宋" w:hAnsi="仿宋" w:eastAsia="仿宋" w:cs="Times New Roman"/>
          <w:sz w:val="32"/>
          <w:szCs w:val="32"/>
          <w:highlight w:val="none"/>
          <w:u w:val="none"/>
          <w:shd w:val="clear" w:color="auto" w:fill="auto"/>
        </w:rPr>
      </w:pPr>
      <w:r>
        <w:rPr>
          <w:rFonts w:hint="eastAsia" w:ascii="仿宋" w:hAnsi="仿宋" w:eastAsia="仿宋" w:cs="Times New Roman"/>
          <w:sz w:val="32"/>
          <w:szCs w:val="32"/>
          <w:highlight w:val="none"/>
          <w:u w:val="none"/>
        </w:rPr>
        <w:t>市住房和城乡建设部门是管廊行业主管部门，统筹协调管廊规划、建设、管理，</w:t>
      </w:r>
      <w:r>
        <w:rPr>
          <w:rFonts w:hint="eastAsia" w:ascii="仿宋" w:hAnsi="仿宋" w:eastAsia="仿宋" w:cs="Times New Roman"/>
          <w:sz w:val="32"/>
          <w:szCs w:val="32"/>
          <w:highlight w:val="none"/>
          <w:u w:val="none"/>
          <w:shd w:val="clear" w:color="auto" w:fill="auto"/>
          <w:lang w:eastAsia="zh-CN"/>
        </w:rPr>
        <w:t>负责</w:t>
      </w:r>
      <w:r>
        <w:rPr>
          <w:rFonts w:hint="eastAsia" w:ascii="仿宋" w:hAnsi="仿宋" w:eastAsia="仿宋" w:cs="Times New Roman"/>
          <w:sz w:val="32"/>
          <w:szCs w:val="32"/>
          <w:highlight w:val="none"/>
          <w:u w:val="none"/>
          <w:shd w:val="clear" w:color="auto" w:fill="auto"/>
        </w:rPr>
        <w:t>管廊建设施工、竣工验收、项目移交等环节管控工作。</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rPr>
        <w:t>市自然资源和规划部门负责建立空间规划体系</w:t>
      </w:r>
      <w:r>
        <w:rPr>
          <w:rFonts w:hint="eastAsia" w:ascii="仿宋" w:hAnsi="仿宋" w:eastAsia="仿宋" w:cs="Times New Roman"/>
          <w:sz w:val="32"/>
          <w:szCs w:val="32"/>
          <w:highlight w:val="none"/>
          <w:u w:val="none"/>
          <w:shd w:val="clear" w:color="auto" w:fill="auto"/>
          <w:lang w:eastAsia="zh-CN"/>
        </w:rPr>
        <w:t>，做好</w:t>
      </w:r>
      <w:r>
        <w:rPr>
          <w:rFonts w:hint="eastAsia" w:ascii="仿宋" w:hAnsi="仿宋" w:eastAsia="仿宋" w:cs="Times New Roman"/>
          <w:sz w:val="32"/>
          <w:szCs w:val="32"/>
          <w:highlight w:val="none"/>
          <w:u w:val="none"/>
          <w:shd w:val="clear" w:color="auto" w:fill="auto"/>
        </w:rPr>
        <w:t>不动产统一确权工作</w:t>
      </w:r>
      <w:r>
        <w:rPr>
          <w:rFonts w:hint="eastAsia" w:ascii="仿宋" w:hAnsi="仿宋" w:eastAsia="仿宋" w:cs="Times New Roman"/>
          <w:sz w:val="32"/>
          <w:szCs w:val="32"/>
          <w:highlight w:val="none"/>
          <w:u w:val="none"/>
          <w:shd w:val="clear" w:color="auto" w:fill="auto"/>
          <w:lang w:eastAsia="zh-CN"/>
        </w:rPr>
        <w:t>，配合管廊专项规划的编制、实施</w:t>
      </w:r>
      <w:r>
        <w:rPr>
          <w:rFonts w:hint="eastAsia" w:ascii="仿宋" w:hAnsi="仿宋" w:eastAsia="仿宋" w:cs="Times New Roman"/>
          <w:sz w:val="32"/>
          <w:szCs w:val="32"/>
          <w:highlight w:val="none"/>
          <w:u w:val="none"/>
          <w:shd w:val="clear" w:color="auto" w:fill="auto"/>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lang w:eastAsia="zh-CN"/>
        </w:rPr>
        <w:t>市发展改革部门</w:t>
      </w:r>
      <w:r>
        <w:rPr>
          <w:rFonts w:ascii="仿宋" w:hAnsi="仿宋" w:eastAsia="仿宋" w:cs="Times New Roman"/>
          <w:sz w:val="32"/>
          <w:szCs w:val="32"/>
          <w:highlight w:val="none"/>
          <w:u w:val="none"/>
          <w:shd w:val="clear" w:color="auto" w:fill="auto"/>
        </w:rPr>
        <w:t>负责</w:t>
      </w:r>
      <w:r>
        <w:rPr>
          <w:rFonts w:hint="eastAsia" w:ascii="仿宋" w:hAnsi="仿宋" w:eastAsia="仿宋" w:cs="Times New Roman"/>
          <w:sz w:val="32"/>
          <w:szCs w:val="32"/>
          <w:highlight w:val="none"/>
          <w:u w:val="none"/>
          <w:shd w:val="clear" w:color="auto" w:fill="auto"/>
          <w:lang w:eastAsia="zh-CN"/>
        </w:rPr>
        <w:t>市本级</w:t>
      </w:r>
      <w:r>
        <w:rPr>
          <w:rFonts w:hint="eastAsia" w:ascii="仿宋" w:hAnsi="仿宋" w:eastAsia="仿宋" w:cs="Times New Roman"/>
          <w:sz w:val="32"/>
          <w:szCs w:val="32"/>
          <w:highlight w:val="none"/>
          <w:u w:val="none"/>
          <w:shd w:val="clear" w:color="auto" w:fill="auto"/>
        </w:rPr>
        <w:t>管廊工程</w:t>
      </w:r>
      <w:r>
        <w:rPr>
          <w:rFonts w:hint="eastAsia" w:ascii="仿宋" w:hAnsi="仿宋" w:eastAsia="仿宋" w:cs="Times New Roman"/>
          <w:sz w:val="32"/>
          <w:szCs w:val="32"/>
          <w:highlight w:val="none"/>
          <w:u w:val="none"/>
          <w:shd w:val="clear" w:color="auto" w:fill="auto"/>
          <w:lang w:eastAsia="zh-CN"/>
        </w:rPr>
        <w:t>的项目建议书、可行性研究报告、初步设计及概算审批等工作。</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lang w:val="en-US" w:eastAsia="zh-CN"/>
        </w:rPr>
        <w:t>市价格主管部门会同管廊行业主管部门跟踪了解管廊运营和收费的问题，指导运营单位、管线单位依法履行合同义务，规范收缴费行为</w:t>
      </w:r>
      <w:r>
        <w:rPr>
          <w:rFonts w:ascii="仿宋" w:hAnsi="仿宋" w:eastAsia="仿宋" w:cs="Times New Roman"/>
          <w:sz w:val="32"/>
          <w:szCs w:val="32"/>
          <w:highlight w:val="none"/>
          <w:u w:val="none"/>
          <w:shd w:val="clear" w:color="auto" w:fill="auto"/>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rPr>
        <w:t>市城管执法、市工业和信息化、市发展改革等部门</w:t>
      </w:r>
      <w:r>
        <w:rPr>
          <w:rFonts w:hint="eastAsia" w:ascii="仿宋" w:hAnsi="仿宋" w:eastAsia="仿宋" w:cs="Times New Roman"/>
          <w:sz w:val="32"/>
          <w:szCs w:val="32"/>
          <w:highlight w:val="none"/>
          <w:u w:val="none"/>
          <w:shd w:val="clear" w:color="auto" w:fill="auto"/>
          <w:lang w:eastAsia="zh-CN"/>
        </w:rPr>
        <w:t>是</w:t>
      </w:r>
      <w:r>
        <w:rPr>
          <w:rFonts w:hint="eastAsia" w:ascii="仿宋" w:hAnsi="仿宋" w:eastAsia="仿宋" w:cs="Times New Roman"/>
          <w:sz w:val="32"/>
          <w:szCs w:val="32"/>
          <w:highlight w:val="none"/>
          <w:u w:val="none"/>
        </w:rPr>
        <w:t>管线管理单位</w:t>
      </w:r>
      <w:r>
        <w:rPr>
          <w:rFonts w:hint="eastAsia" w:ascii="仿宋" w:hAnsi="仿宋" w:eastAsia="仿宋" w:cs="Times New Roman"/>
          <w:sz w:val="32"/>
          <w:szCs w:val="32"/>
          <w:highlight w:val="none"/>
          <w:u w:val="none"/>
          <w:lang w:eastAsia="zh-CN"/>
        </w:rPr>
        <w:t>，</w:t>
      </w:r>
      <w:r>
        <w:rPr>
          <w:rFonts w:hint="eastAsia" w:ascii="仿宋" w:hAnsi="仿宋" w:eastAsia="仿宋" w:cs="Times New Roman"/>
          <w:sz w:val="32"/>
          <w:szCs w:val="32"/>
          <w:highlight w:val="none"/>
          <w:u w:val="none"/>
          <w:shd w:val="clear" w:color="auto" w:fill="auto"/>
        </w:rPr>
        <w:t>负责各</w:t>
      </w:r>
      <w:r>
        <w:rPr>
          <w:rFonts w:hint="eastAsia" w:ascii="仿宋" w:hAnsi="仿宋" w:eastAsia="仿宋" w:cs="Times New Roman"/>
          <w:sz w:val="32"/>
          <w:szCs w:val="32"/>
          <w:highlight w:val="none"/>
          <w:u w:val="none"/>
          <w:shd w:val="clear" w:color="auto" w:fill="auto"/>
          <w:lang w:eastAsia="zh-CN"/>
        </w:rPr>
        <w:t>自</w:t>
      </w:r>
      <w:r>
        <w:rPr>
          <w:rFonts w:hint="eastAsia" w:ascii="仿宋" w:hAnsi="仿宋" w:eastAsia="仿宋" w:cs="Times New Roman"/>
          <w:sz w:val="32"/>
          <w:szCs w:val="32"/>
          <w:highlight w:val="none"/>
          <w:u w:val="none"/>
          <w:shd w:val="clear" w:color="auto" w:fill="auto"/>
        </w:rPr>
        <w:t>管线入廊运行规范指导及监督管理工作。</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管线单位负责</w:t>
      </w:r>
      <w:r>
        <w:rPr>
          <w:rFonts w:hint="eastAsia" w:ascii="仿宋" w:hAnsi="仿宋" w:eastAsia="仿宋" w:cs="Times New Roman"/>
          <w:sz w:val="32"/>
          <w:szCs w:val="32"/>
          <w:highlight w:val="none"/>
          <w:u w:val="none"/>
          <w:lang w:eastAsia="zh-CN"/>
        </w:rPr>
        <w:t>管线入廊申请和</w:t>
      </w:r>
      <w:r>
        <w:rPr>
          <w:rFonts w:hint="eastAsia" w:ascii="仿宋" w:hAnsi="仿宋" w:eastAsia="仿宋" w:cs="Times New Roman"/>
          <w:sz w:val="32"/>
          <w:szCs w:val="32"/>
          <w:highlight w:val="none"/>
          <w:u w:val="none"/>
        </w:rPr>
        <w:t>入廊管线</w:t>
      </w:r>
      <w:r>
        <w:rPr>
          <w:rFonts w:hint="eastAsia" w:ascii="仿宋" w:hAnsi="仿宋" w:eastAsia="仿宋" w:cs="Times New Roman"/>
          <w:sz w:val="32"/>
          <w:szCs w:val="32"/>
          <w:highlight w:val="none"/>
          <w:u w:val="none"/>
          <w:lang w:eastAsia="zh-CN"/>
        </w:rPr>
        <w:t>巡检、抢修</w:t>
      </w:r>
      <w:r>
        <w:rPr>
          <w:rFonts w:hint="eastAsia" w:ascii="仿宋" w:hAnsi="仿宋" w:eastAsia="仿宋" w:cs="Times New Roman"/>
          <w:sz w:val="32"/>
          <w:szCs w:val="32"/>
          <w:highlight w:val="none"/>
          <w:u w:val="none"/>
        </w:rPr>
        <w:t>等工作。</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lang w:eastAsia="zh-CN"/>
        </w:rPr>
        <w:t>运营单位</w:t>
      </w:r>
      <w:r>
        <w:rPr>
          <w:rFonts w:hint="eastAsia" w:ascii="仿宋" w:hAnsi="仿宋" w:eastAsia="仿宋" w:cs="Times New Roman"/>
          <w:sz w:val="32"/>
          <w:szCs w:val="32"/>
          <w:highlight w:val="none"/>
          <w:u w:val="none"/>
        </w:rPr>
        <w:t>是管廊运营维护的责任主体，负责管廊接收、管线入廊申请审核、有偿使用合同签订，保障管廊本体、附属设施运营、维护及安全管理，组织协调管线入廊施工和入廊管线报备</w:t>
      </w:r>
      <w:r>
        <w:rPr>
          <w:rFonts w:hint="eastAsia" w:ascii="仿宋" w:hAnsi="仿宋" w:eastAsia="仿宋" w:cs="Times New Roman"/>
          <w:sz w:val="32"/>
          <w:szCs w:val="32"/>
          <w:highlight w:val="none"/>
          <w:u w:val="none"/>
          <w:lang w:eastAsia="zh-CN"/>
        </w:rPr>
        <w:t>等</w:t>
      </w:r>
      <w:r>
        <w:rPr>
          <w:rFonts w:hint="eastAsia" w:ascii="仿宋" w:hAnsi="仿宋" w:eastAsia="仿宋" w:cs="Times New Roman"/>
          <w:sz w:val="32"/>
          <w:szCs w:val="32"/>
          <w:highlight w:val="none"/>
          <w:u w:val="none"/>
        </w:rPr>
        <w:t>工作。</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市、区各级财政、人防、交通管理、文广新旅、应急管理等部门各司其职做好管廊</w:t>
      </w:r>
      <w:r>
        <w:rPr>
          <w:rFonts w:hint="eastAsia" w:ascii="仿宋" w:hAnsi="仿宋" w:eastAsia="仿宋" w:cs="Times New Roman"/>
          <w:sz w:val="32"/>
          <w:szCs w:val="32"/>
          <w:highlight w:val="none"/>
          <w:u w:val="none"/>
          <w:lang w:eastAsia="zh-CN"/>
        </w:rPr>
        <w:t>的</w:t>
      </w:r>
      <w:r>
        <w:rPr>
          <w:rFonts w:hint="eastAsia" w:ascii="仿宋" w:hAnsi="仿宋" w:eastAsia="仿宋" w:cs="Times New Roman"/>
          <w:sz w:val="32"/>
          <w:szCs w:val="32"/>
          <w:highlight w:val="none"/>
          <w:u w:val="none"/>
        </w:rPr>
        <w:t>相关工作。</w:t>
      </w:r>
    </w:p>
    <w:p>
      <w:pPr>
        <w:widowControl/>
        <w:numPr>
          <w:ilvl w:val="0"/>
          <w:numId w:val="0"/>
        </w:numPr>
        <w:kinsoku w:val="0"/>
        <w:autoSpaceDE w:val="0"/>
        <w:autoSpaceDN w:val="0"/>
        <w:adjustRightInd w:val="0"/>
        <w:snapToGrid w:val="0"/>
        <w:spacing w:line="360" w:lineRule="auto"/>
        <w:jc w:val="both"/>
        <w:textAlignment w:val="baseline"/>
        <w:rPr>
          <w:rFonts w:ascii="仿宋" w:hAnsi="仿宋" w:eastAsia="仿宋" w:cs="Times New Roman"/>
          <w:sz w:val="32"/>
          <w:szCs w:val="32"/>
          <w:highlight w:val="none"/>
          <w:u w:val="none"/>
        </w:rPr>
      </w:pPr>
    </w:p>
    <w:p>
      <w:pPr>
        <w:numPr>
          <w:ilvl w:val="0"/>
          <w:numId w:val="1"/>
        </w:numPr>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规划、建设、移交及运营管理</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lang w:eastAsia="zh-CN"/>
        </w:rPr>
        <w:t>市住房和城乡建设部门会同市自然资源和规划部门组织编制本市地下综合</w:t>
      </w:r>
      <w:r>
        <w:rPr>
          <w:rFonts w:hint="eastAsia" w:ascii="仿宋" w:hAnsi="仿宋" w:eastAsia="仿宋" w:cs="Times New Roman"/>
          <w:sz w:val="32"/>
          <w:szCs w:val="32"/>
          <w:highlight w:val="none"/>
          <w:u w:val="none"/>
        </w:rPr>
        <w:t>管廊</w:t>
      </w:r>
      <w:r>
        <w:rPr>
          <w:rFonts w:hint="eastAsia" w:ascii="仿宋" w:hAnsi="仿宋" w:eastAsia="仿宋" w:cs="Times New Roman"/>
          <w:sz w:val="32"/>
          <w:szCs w:val="32"/>
          <w:highlight w:val="none"/>
          <w:u w:val="none"/>
          <w:lang w:eastAsia="zh-CN"/>
        </w:rPr>
        <w:t>专项</w:t>
      </w:r>
      <w:r>
        <w:rPr>
          <w:rFonts w:hint="eastAsia" w:ascii="仿宋" w:hAnsi="仿宋" w:eastAsia="仿宋" w:cs="Times New Roman"/>
          <w:sz w:val="32"/>
          <w:szCs w:val="32"/>
          <w:highlight w:val="none"/>
          <w:u w:val="none"/>
        </w:rPr>
        <w:t>规划</w:t>
      </w:r>
      <w:r>
        <w:rPr>
          <w:rFonts w:hint="eastAsia" w:ascii="仿宋" w:hAnsi="仿宋" w:eastAsia="仿宋" w:cs="Times New Roman"/>
          <w:sz w:val="32"/>
          <w:szCs w:val="32"/>
          <w:highlight w:val="none"/>
          <w:u w:val="none"/>
          <w:lang w:eastAsia="zh-CN"/>
        </w:rPr>
        <w:t>，规划</w:t>
      </w:r>
      <w:r>
        <w:rPr>
          <w:rFonts w:hint="eastAsia" w:ascii="仿宋" w:hAnsi="仿宋" w:eastAsia="仿宋" w:cs="Times New Roman"/>
          <w:sz w:val="32"/>
          <w:szCs w:val="32"/>
          <w:highlight w:val="none"/>
          <w:u w:val="none"/>
        </w:rPr>
        <w:t>期限原则上应与城市总体规划</w:t>
      </w:r>
      <w:r>
        <w:rPr>
          <w:rFonts w:hint="eastAsia" w:ascii="仿宋" w:hAnsi="仿宋" w:eastAsia="仿宋" w:cs="Times New Roman"/>
          <w:sz w:val="32"/>
          <w:szCs w:val="32"/>
          <w:highlight w:val="none"/>
          <w:u w:val="none"/>
          <w:lang w:eastAsia="zh-CN"/>
        </w:rPr>
        <w:t>、</w:t>
      </w:r>
      <w:r>
        <w:rPr>
          <w:rFonts w:hint="eastAsia" w:ascii="仿宋" w:hAnsi="仿宋" w:eastAsia="仿宋" w:cs="Times New Roman"/>
          <w:sz w:val="32"/>
          <w:szCs w:val="32"/>
          <w:highlight w:val="none"/>
          <w:u w:val="none"/>
          <w:lang w:val="en-US" w:eastAsia="zh-CN"/>
        </w:rPr>
        <w:t>城市更新等</w:t>
      </w:r>
      <w:r>
        <w:rPr>
          <w:rFonts w:hint="eastAsia" w:ascii="仿宋" w:hAnsi="仿宋" w:eastAsia="仿宋" w:cs="Times New Roman"/>
          <w:sz w:val="32"/>
          <w:szCs w:val="32"/>
          <w:highlight w:val="none"/>
          <w:u w:val="none"/>
        </w:rPr>
        <w:t>相一致，与地下空间开发利用、各类管线综合规划、道路交通等专项规划相衔接，综合考虑城市发展愿景，因地制宜，</w:t>
      </w:r>
      <w:r>
        <w:rPr>
          <w:rFonts w:hint="eastAsia" w:ascii="仿宋" w:hAnsi="仿宋" w:eastAsia="仿宋" w:cs="Times New Roman"/>
          <w:sz w:val="32"/>
          <w:szCs w:val="32"/>
          <w:highlight w:val="none"/>
          <w:u w:val="none"/>
          <w:shd w:val="clear" w:color="auto" w:fill="auto"/>
          <w:lang w:val="en-US" w:eastAsia="zh-CN"/>
        </w:rPr>
        <w:t>兼顾人民防控需要，</w:t>
      </w:r>
      <w:r>
        <w:rPr>
          <w:rFonts w:hint="eastAsia" w:ascii="仿宋" w:hAnsi="仿宋" w:eastAsia="仿宋" w:cs="Times New Roman"/>
          <w:sz w:val="32"/>
          <w:szCs w:val="32"/>
          <w:highlight w:val="none"/>
          <w:u w:val="none"/>
        </w:rPr>
        <w:t>合理确定管廊建设布局、管线种类、断面形式、平面位置、竖向控制等，明确建设规模和时序。</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管廊工程结构设计应</w:t>
      </w:r>
      <w:r>
        <w:rPr>
          <w:rFonts w:ascii="仿宋" w:hAnsi="仿宋" w:eastAsia="仿宋" w:cs="Times New Roman"/>
          <w:sz w:val="32"/>
          <w:szCs w:val="32"/>
          <w:highlight w:val="none"/>
          <w:u w:val="none"/>
        </w:rPr>
        <w:t>考虑各类管线接入、敷设、增容、引出支线等需求</w:t>
      </w:r>
      <w:r>
        <w:rPr>
          <w:rFonts w:hint="eastAsia" w:ascii="仿宋" w:hAnsi="仿宋" w:eastAsia="仿宋" w:cs="Times New Roman"/>
          <w:sz w:val="32"/>
          <w:szCs w:val="32"/>
          <w:highlight w:val="none"/>
          <w:u w:val="none"/>
        </w:rPr>
        <w:t>，配建行人检修通道、合理出入口、消防、照明、通风、标识、安全与警报、管理用房、监控中心等，并</w:t>
      </w:r>
      <w:r>
        <w:rPr>
          <w:rFonts w:ascii="仿宋" w:hAnsi="仿宋" w:eastAsia="仿宋" w:cs="Times New Roman"/>
          <w:sz w:val="32"/>
          <w:szCs w:val="32"/>
          <w:highlight w:val="none"/>
          <w:u w:val="none"/>
        </w:rPr>
        <w:t>应当征求管线单位</w:t>
      </w:r>
      <w:r>
        <w:rPr>
          <w:rFonts w:hint="eastAsia" w:ascii="仿宋" w:hAnsi="仿宋" w:eastAsia="仿宋" w:cs="Times New Roman"/>
          <w:sz w:val="32"/>
          <w:szCs w:val="32"/>
          <w:highlight w:val="none"/>
          <w:u w:val="none"/>
        </w:rPr>
        <w:t>和</w:t>
      </w:r>
      <w:r>
        <w:rPr>
          <w:rFonts w:hint="eastAsia" w:ascii="仿宋" w:hAnsi="仿宋" w:eastAsia="仿宋" w:cs="Times New Roman"/>
          <w:sz w:val="32"/>
          <w:szCs w:val="32"/>
          <w:highlight w:val="none"/>
          <w:u w:val="none"/>
          <w:lang w:eastAsia="zh-CN"/>
        </w:rPr>
        <w:t>运营单位</w:t>
      </w:r>
      <w:r>
        <w:rPr>
          <w:rFonts w:ascii="仿宋" w:hAnsi="仿宋" w:eastAsia="仿宋" w:cs="Times New Roman"/>
          <w:sz w:val="32"/>
          <w:szCs w:val="32"/>
          <w:highlight w:val="none"/>
          <w:u w:val="none"/>
        </w:rPr>
        <w:t>意见</w:t>
      </w:r>
      <w:r>
        <w:rPr>
          <w:rFonts w:hint="eastAsia" w:ascii="仿宋" w:hAnsi="仿宋" w:eastAsia="仿宋" w:cs="Times New Roman"/>
          <w:sz w:val="32"/>
          <w:szCs w:val="32"/>
          <w:highlight w:val="none"/>
          <w:u w:val="none"/>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管廊建设应严格按照先规划后建设的原则实施，应依据管廊专项规划有序推进，与城市道路、新区建设、旧城更新、片区改造、河道治理、轨道交通建设和地下空间开发建设等同步进行</w:t>
      </w:r>
      <w:r>
        <w:rPr>
          <w:rFonts w:hint="eastAsia" w:ascii="仿宋" w:hAnsi="仿宋" w:eastAsia="仿宋" w:cs="Times New Roman"/>
          <w:sz w:val="32"/>
          <w:szCs w:val="32"/>
          <w:highlight w:val="none"/>
          <w:u w:val="none"/>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与主体工程同步建设的管廊工程，可由主体工程建设单位统筹办理项目立项、规划报建、规划核实、竣工验收备案、项目移交以及工程档案资料移交等手续。独立建设的管廊工程，由建设单位办理上述手续。管廊建设需要穿越城市道路、铁路、轨道交通、人防设施、河道、文物保护或位于其保护地界范围内的，建设单位应按照相关法律法规履行工程项目审批（含征求意见）、核准或备案等手续。</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ascii="仿宋" w:hAnsi="仿宋" w:eastAsia="仿宋" w:cs="Times New Roman"/>
          <w:sz w:val="32"/>
          <w:szCs w:val="32"/>
          <w:highlight w:val="none"/>
          <w:u w:val="none"/>
        </w:rPr>
        <w:t>建设单位应按照规定组织</w:t>
      </w:r>
      <w:r>
        <w:rPr>
          <w:rFonts w:hint="eastAsia" w:ascii="仿宋" w:hAnsi="仿宋" w:eastAsia="仿宋" w:cs="Times New Roman"/>
          <w:sz w:val="32"/>
          <w:szCs w:val="32"/>
          <w:highlight w:val="none"/>
          <w:u w:val="none"/>
        </w:rPr>
        <w:t>管廊</w:t>
      </w:r>
      <w:r>
        <w:rPr>
          <w:rFonts w:ascii="仿宋" w:hAnsi="仿宋" w:eastAsia="仿宋" w:cs="Times New Roman"/>
          <w:sz w:val="32"/>
          <w:szCs w:val="32"/>
          <w:highlight w:val="none"/>
          <w:u w:val="none"/>
        </w:rPr>
        <w:t>竣工验收，</w:t>
      </w:r>
      <w:r>
        <w:rPr>
          <w:rFonts w:hint="eastAsia" w:ascii="仿宋" w:hAnsi="仿宋" w:eastAsia="仿宋" w:cs="Times New Roman"/>
          <w:sz w:val="32"/>
          <w:szCs w:val="32"/>
          <w:highlight w:val="none"/>
          <w:u w:val="none"/>
        </w:rPr>
        <w:t>需</w:t>
      </w:r>
      <w:r>
        <w:rPr>
          <w:rFonts w:ascii="仿宋" w:hAnsi="仿宋" w:eastAsia="仿宋" w:cs="Times New Roman"/>
          <w:sz w:val="32"/>
          <w:szCs w:val="32"/>
          <w:highlight w:val="none"/>
          <w:u w:val="none"/>
        </w:rPr>
        <w:t>邀请</w:t>
      </w:r>
      <w:r>
        <w:rPr>
          <w:rFonts w:hint="eastAsia" w:ascii="仿宋" w:hAnsi="仿宋" w:eastAsia="仿宋" w:cs="Times New Roman"/>
          <w:sz w:val="32"/>
          <w:szCs w:val="32"/>
          <w:highlight w:val="none"/>
          <w:u w:val="none"/>
          <w:lang w:eastAsia="zh-CN"/>
        </w:rPr>
        <w:t>运营单位</w:t>
      </w:r>
      <w:r>
        <w:rPr>
          <w:rFonts w:ascii="仿宋" w:hAnsi="仿宋" w:eastAsia="仿宋" w:cs="Times New Roman"/>
          <w:sz w:val="32"/>
          <w:szCs w:val="32"/>
          <w:highlight w:val="none"/>
          <w:u w:val="none"/>
        </w:rPr>
        <w:t>参加</w:t>
      </w:r>
      <w:r>
        <w:rPr>
          <w:rFonts w:hint="eastAsia" w:ascii="仿宋" w:hAnsi="仿宋" w:eastAsia="仿宋" w:cs="Times New Roman"/>
          <w:sz w:val="32"/>
          <w:szCs w:val="32"/>
          <w:highlight w:val="none"/>
          <w:u w:val="none"/>
        </w:rPr>
        <w:t>，竣工</w:t>
      </w:r>
      <w:r>
        <w:rPr>
          <w:rFonts w:ascii="仿宋" w:hAnsi="仿宋" w:eastAsia="仿宋" w:cs="Times New Roman"/>
          <w:sz w:val="32"/>
          <w:szCs w:val="32"/>
          <w:highlight w:val="none"/>
          <w:u w:val="none"/>
        </w:rPr>
        <w:t>验收合格后</w:t>
      </w:r>
      <w:r>
        <w:rPr>
          <w:rFonts w:hint="eastAsia" w:ascii="仿宋" w:hAnsi="仿宋" w:eastAsia="仿宋" w:cs="Times New Roman"/>
          <w:sz w:val="32"/>
          <w:szCs w:val="32"/>
          <w:highlight w:val="none"/>
          <w:u w:val="none"/>
        </w:rPr>
        <w:t>管廊</w:t>
      </w:r>
      <w:r>
        <w:rPr>
          <w:rFonts w:ascii="仿宋" w:hAnsi="仿宋" w:eastAsia="仿宋" w:cs="Times New Roman"/>
          <w:sz w:val="32"/>
          <w:szCs w:val="32"/>
          <w:highlight w:val="none"/>
          <w:u w:val="none"/>
        </w:rPr>
        <w:t>方可投入使用。管廊</w:t>
      </w:r>
      <w:r>
        <w:rPr>
          <w:rFonts w:hint="eastAsia" w:ascii="仿宋" w:hAnsi="仿宋" w:eastAsia="仿宋" w:cs="Times New Roman"/>
          <w:sz w:val="32"/>
          <w:szCs w:val="32"/>
          <w:highlight w:val="none"/>
          <w:u w:val="none"/>
        </w:rPr>
        <w:t>竣工</w:t>
      </w:r>
      <w:r>
        <w:rPr>
          <w:rFonts w:ascii="仿宋" w:hAnsi="仿宋" w:eastAsia="仿宋" w:cs="Times New Roman"/>
          <w:sz w:val="32"/>
          <w:szCs w:val="32"/>
          <w:highlight w:val="none"/>
          <w:u w:val="none"/>
        </w:rPr>
        <w:t>验收</w:t>
      </w:r>
      <w:r>
        <w:rPr>
          <w:rFonts w:hint="eastAsia" w:ascii="仿宋" w:hAnsi="仿宋" w:eastAsia="仿宋" w:cs="Times New Roman"/>
          <w:sz w:val="32"/>
          <w:szCs w:val="32"/>
          <w:highlight w:val="none"/>
          <w:u w:val="none"/>
        </w:rPr>
        <w:t>备案</w:t>
      </w:r>
      <w:r>
        <w:rPr>
          <w:rFonts w:ascii="仿宋" w:hAnsi="仿宋" w:eastAsia="仿宋" w:cs="Times New Roman"/>
          <w:sz w:val="32"/>
          <w:szCs w:val="32"/>
          <w:highlight w:val="none"/>
          <w:u w:val="none"/>
        </w:rPr>
        <w:t>后，建设单位应当按照规定移交管廊工程竣工档案</w:t>
      </w:r>
      <w:r>
        <w:rPr>
          <w:rFonts w:hint="eastAsia" w:ascii="仿宋" w:hAnsi="仿宋" w:eastAsia="仿宋" w:cs="Times New Roman"/>
          <w:sz w:val="32"/>
          <w:szCs w:val="32"/>
          <w:highlight w:val="none"/>
          <w:u w:val="none"/>
        </w:rPr>
        <w:t>资料。</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rPr>
        <w:t>管廊竣工验收且满足正常运行</w:t>
      </w:r>
      <w:r>
        <w:rPr>
          <w:rFonts w:hint="eastAsia" w:ascii="仿宋" w:hAnsi="仿宋" w:eastAsia="仿宋" w:cs="Times New Roman"/>
          <w:sz w:val="32"/>
          <w:szCs w:val="32"/>
          <w:highlight w:val="none"/>
          <w:u w:val="none"/>
          <w:shd w:val="clear" w:color="auto" w:fill="auto"/>
          <w:lang w:val="en-US" w:eastAsia="zh-CN"/>
        </w:rPr>
        <w:t>条件</w:t>
      </w:r>
      <w:r>
        <w:rPr>
          <w:rFonts w:hint="eastAsia" w:ascii="仿宋" w:hAnsi="仿宋" w:eastAsia="仿宋" w:cs="Times New Roman"/>
          <w:sz w:val="32"/>
          <w:szCs w:val="32"/>
          <w:highlight w:val="none"/>
          <w:u w:val="none"/>
          <w:shd w:val="clear" w:color="auto" w:fill="auto"/>
        </w:rPr>
        <w:t>后</w:t>
      </w:r>
      <w:r>
        <w:rPr>
          <w:rFonts w:hint="eastAsia" w:ascii="仿宋" w:hAnsi="仿宋" w:eastAsia="仿宋" w:cs="Times New Roman"/>
          <w:sz w:val="32"/>
          <w:szCs w:val="32"/>
          <w:highlight w:val="none"/>
          <w:u w:val="none"/>
          <w:shd w:val="clear" w:color="auto" w:fill="auto"/>
          <w:lang w:val="en-US" w:eastAsia="zh-CN"/>
        </w:rPr>
        <w:t>，</w:t>
      </w:r>
      <w:r>
        <w:rPr>
          <w:rFonts w:ascii="仿宋" w:hAnsi="仿宋" w:eastAsia="仿宋" w:cs="Times New Roman"/>
          <w:sz w:val="32"/>
          <w:szCs w:val="32"/>
          <w:highlight w:val="none"/>
          <w:u w:val="none"/>
          <w:shd w:val="clear" w:color="auto" w:fill="auto"/>
        </w:rPr>
        <w:t>对现场勘察无异议、资料齐全的</w:t>
      </w:r>
      <w:r>
        <w:rPr>
          <w:rFonts w:hint="eastAsia" w:ascii="仿宋" w:hAnsi="仿宋" w:eastAsia="仿宋" w:cs="Times New Roman"/>
          <w:sz w:val="32"/>
          <w:szCs w:val="32"/>
          <w:highlight w:val="none"/>
          <w:u w:val="none"/>
          <w:shd w:val="clear" w:color="auto" w:fill="auto"/>
        </w:rPr>
        <w:t>管廊</w:t>
      </w:r>
      <w:r>
        <w:rPr>
          <w:rFonts w:ascii="仿宋" w:hAnsi="仿宋" w:eastAsia="仿宋" w:cs="Times New Roman"/>
          <w:sz w:val="32"/>
          <w:szCs w:val="32"/>
          <w:highlight w:val="none"/>
          <w:u w:val="none"/>
          <w:shd w:val="clear" w:color="auto" w:fill="auto"/>
        </w:rPr>
        <w:t>设施，</w:t>
      </w:r>
      <w:r>
        <w:rPr>
          <w:rFonts w:hint="eastAsia" w:ascii="仿宋" w:hAnsi="仿宋" w:eastAsia="仿宋" w:cs="Times New Roman"/>
          <w:sz w:val="32"/>
          <w:szCs w:val="32"/>
          <w:highlight w:val="none"/>
          <w:u w:val="none"/>
          <w:shd w:val="clear" w:color="auto" w:fill="auto"/>
        </w:rPr>
        <w:t>建设单位与</w:t>
      </w:r>
      <w:r>
        <w:rPr>
          <w:rFonts w:hint="eastAsia" w:ascii="仿宋" w:hAnsi="仿宋" w:eastAsia="仿宋" w:cs="Times New Roman"/>
          <w:sz w:val="32"/>
          <w:szCs w:val="32"/>
          <w:highlight w:val="none"/>
          <w:u w:val="none"/>
          <w:shd w:val="clear" w:color="auto" w:fill="auto"/>
          <w:lang w:eastAsia="zh-CN"/>
        </w:rPr>
        <w:t>运营单位</w:t>
      </w:r>
      <w:r>
        <w:rPr>
          <w:rFonts w:ascii="仿宋" w:hAnsi="仿宋" w:eastAsia="仿宋" w:cs="Times New Roman"/>
          <w:sz w:val="32"/>
          <w:szCs w:val="32"/>
          <w:highlight w:val="none"/>
          <w:u w:val="none"/>
          <w:shd w:val="clear" w:color="auto" w:fill="auto"/>
        </w:rPr>
        <w:t>签署</w:t>
      </w:r>
      <w:r>
        <w:rPr>
          <w:rFonts w:hint="eastAsia" w:ascii="仿宋" w:hAnsi="仿宋" w:eastAsia="仿宋" w:cs="Times New Roman"/>
          <w:sz w:val="32"/>
          <w:szCs w:val="32"/>
          <w:highlight w:val="none"/>
          <w:u w:val="none"/>
          <w:shd w:val="clear" w:color="auto" w:fill="auto"/>
        </w:rPr>
        <w:t>项目</w:t>
      </w:r>
      <w:r>
        <w:rPr>
          <w:rFonts w:ascii="仿宋" w:hAnsi="仿宋" w:eastAsia="仿宋" w:cs="Times New Roman"/>
          <w:sz w:val="32"/>
          <w:szCs w:val="32"/>
          <w:highlight w:val="none"/>
          <w:u w:val="none"/>
          <w:shd w:val="clear" w:color="auto" w:fill="auto"/>
        </w:rPr>
        <w:t>移交证书</w:t>
      </w:r>
      <w:r>
        <w:rPr>
          <w:rFonts w:hint="eastAsia" w:ascii="仿宋" w:hAnsi="仿宋" w:eastAsia="仿宋" w:cs="Times New Roman"/>
          <w:sz w:val="32"/>
          <w:szCs w:val="32"/>
          <w:highlight w:val="none"/>
          <w:u w:val="none"/>
          <w:shd w:val="clear" w:color="auto" w:fill="auto"/>
        </w:rPr>
        <w:t>，提交</w:t>
      </w:r>
      <w:r>
        <w:rPr>
          <w:rFonts w:hint="eastAsia" w:ascii="仿宋" w:hAnsi="仿宋" w:eastAsia="仿宋" w:cs="Times New Roman"/>
          <w:sz w:val="32"/>
          <w:szCs w:val="32"/>
          <w:highlight w:val="none"/>
          <w:u w:val="none"/>
          <w:shd w:val="clear" w:color="auto" w:fill="auto"/>
          <w:lang w:eastAsia="zh-CN"/>
        </w:rPr>
        <w:t>运营单位</w:t>
      </w:r>
      <w:r>
        <w:rPr>
          <w:rFonts w:hint="eastAsia" w:ascii="仿宋" w:hAnsi="仿宋" w:eastAsia="仿宋" w:cs="Times New Roman"/>
          <w:sz w:val="32"/>
          <w:szCs w:val="32"/>
          <w:highlight w:val="none"/>
          <w:u w:val="none"/>
          <w:shd w:val="clear" w:color="auto" w:fill="auto"/>
        </w:rPr>
        <w:t>要求的管廊竣工图纸等相关资料</w:t>
      </w:r>
      <w:r>
        <w:rPr>
          <w:rFonts w:ascii="仿宋" w:hAnsi="仿宋" w:eastAsia="仿宋" w:cs="Times New Roman"/>
          <w:sz w:val="32"/>
          <w:szCs w:val="32"/>
          <w:highlight w:val="none"/>
          <w:u w:val="none"/>
          <w:shd w:val="clear" w:color="auto" w:fill="auto"/>
        </w:rPr>
        <w:t>。移交中发生争议，应当协商解决</w:t>
      </w:r>
      <w:r>
        <w:rPr>
          <w:rFonts w:hint="eastAsia" w:ascii="仿宋" w:hAnsi="仿宋" w:eastAsia="仿宋" w:cs="Times New Roman"/>
          <w:sz w:val="32"/>
          <w:szCs w:val="32"/>
          <w:highlight w:val="none"/>
          <w:u w:val="none"/>
          <w:shd w:val="clear" w:color="auto" w:fill="auto"/>
        </w:rPr>
        <w:t>，</w:t>
      </w:r>
      <w:r>
        <w:rPr>
          <w:rFonts w:ascii="仿宋" w:hAnsi="仿宋" w:eastAsia="仿宋" w:cs="Times New Roman"/>
          <w:sz w:val="32"/>
          <w:szCs w:val="32"/>
          <w:highlight w:val="none"/>
          <w:u w:val="none"/>
          <w:shd w:val="clear" w:color="auto" w:fill="auto"/>
        </w:rPr>
        <w:t>协商不成的，</w:t>
      </w:r>
      <w:r>
        <w:rPr>
          <w:rFonts w:hint="eastAsia" w:ascii="仿宋" w:hAnsi="仿宋" w:eastAsia="仿宋" w:cs="Times New Roman"/>
          <w:sz w:val="32"/>
          <w:szCs w:val="32"/>
          <w:highlight w:val="none"/>
          <w:u w:val="none"/>
          <w:shd w:val="clear" w:color="auto" w:fill="auto"/>
        </w:rPr>
        <w:t>按层级上报有关部门协调解决。</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管廊完成移交手续后，管线单位申请办理管线入廊手续，与</w:t>
      </w:r>
      <w:r>
        <w:rPr>
          <w:rFonts w:hint="eastAsia" w:ascii="仿宋" w:hAnsi="仿宋" w:eastAsia="仿宋" w:cs="Times New Roman"/>
          <w:sz w:val="32"/>
          <w:szCs w:val="32"/>
          <w:highlight w:val="none"/>
          <w:u w:val="none"/>
          <w:lang w:eastAsia="zh-CN"/>
        </w:rPr>
        <w:t>运营单位</w:t>
      </w:r>
      <w:r>
        <w:rPr>
          <w:rFonts w:hint="eastAsia" w:ascii="仿宋" w:hAnsi="仿宋" w:eastAsia="仿宋" w:cs="Times New Roman"/>
          <w:sz w:val="32"/>
          <w:szCs w:val="32"/>
          <w:highlight w:val="none"/>
          <w:u w:val="none"/>
        </w:rPr>
        <w:t>签订管线入廊及有偿使用合同。管线单位进行管线敷设并组织竣工验收，验收合格后，管线单位和</w:t>
      </w:r>
      <w:r>
        <w:rPr>
          <w:rFonts w:hint="eastAsia" w:ascii="仿宋" w:hAnsi="仿宋" w:eastAsia="仿宋" w:cs="Times New Roman"/>
          <w:sz w:val="32"/>
          <w:szCs w:val="32"/>
          <w:highlight w:val="none"/>
          <w:u w:val="none"/>
          <w:lang w:eastAsia="zh-CN"/>
        </w:rPr>
        <w:t>运营单位分别</w:t>
      </w:r>
      <w:r>
        <w:rPr>
          <w:rFonts w:hint="eastAsia" w:ascii="仿宋" w:hAnsi="仿宋" w:eastAsia="仿宋" w:cs="Times New Roman"/>
          <w:sz w:val="32"/>
          <w:szCs w:val="32"/>
          <w:highlight w:val="none"/>
          <w:u w:val="none"/>
        </w:rPr>
        <w:t>做好管线、管廊维护管理</w:t>
      </w:r>
      <w:r>
        <w:rPr>
          <w:rFonts w:hint="eastAsia" w:ascii="仿宋" w:hAnsi="仿宋" w:eastAsia="仿宋" w:cs="Times New Roman"/>
          <w:sz w:val="32"/>
          <w:szCs w:val="32"/>
          <w:highlight w:val="none"/>
          <w:u w:val="none"/>
          <w:lang w:eastAsia="zh-CN"/>
        </w:rPr>
        <w:t>工作</w:t>
      </w:r>
      <w:r>
        <w:rPr>
          <w:rFonts w:hint="eastAsia" w:ascii="仿宋" w:hAnsi="仿宋" w:eastAsia="仿宋" w:cs="Times New Roman"/>
          <w:sz w:val="32"/>
          <w:szCs w:val="32"/>
          <w:highlight w:val="none"/>
          <w:u w:val="none"/>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rPr>
        <w:t>规划建设管廊的区域，凡已在管廊内预留管线位置的，各管线必须统一入廊，在管廊以外的位置不得管线开挖敷设施工;已建成使用的既有管线，要结合管线改造逐步迁移至管廊内。</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仿宋"/>
          <w:b/>
          <w:bCs/>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lang w:val="en-US" w:eastAsia="zh-CN"/>
        </w:rPr>
        <w:t>管廊实行有偿使用，管廊使用费（含入廊费、日常维护费）由运营单位与管线单位协商确定。经协商确实无法达成一致意见的，由市价格主管部门会同管廊行业主管部门协商确定。</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仿宋"/>
          <w:b/>
          <w:bCs/>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lang w:val="en-US" w:eastAsia="zh-CN"/>
        </w:rPr>
        <w:t>管廊使用费按照覆盖部分建设成本和全部运维成本的原则协商确定。管线单位分摊的建设成本按照不低于管廊全生命周期内的管线直埋敷设成本，并考虑管廊公益属性、管线单位承受能力等因素确定。</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Times New Roman"/>
          <w:sz w:val="32"/>
          <w:szCs w:val="32"/>
          <w:highlight w:val="none"/>
          <w:u w:val="none"/>
        </w:rPr>
      </w:pPr>
      <w:r>
        <w:rPr>
          <w:rFonts w:hint="eastAsia" w:ascii="仿宋" w:hAnsi="仿宋" w:eastAsia="仿宋" w:cs="Times New Roman"/>
          <w:sz w:val="32"/>
          <w:szCs w:val="32"/>
          <w:highlight w:val="none"/>
          <w:u w:val="none"/>
          <w:shd w:val="clear" w:color="auto" w:fill="auto"/>
        </w:rPr>
        <w:t>照明、公共监控视频、交通信号等公益管线需要在管廊敷设的，由市、区人民政府通过政府购买服务的方式实施</w:t>
      </w:r>
      <w:r>
        <w:rPr>
          <w:rFonts w:hint="eastAsia" w:ascii="仿宋" w:hAnsi="仿宋" w:eastAsia="仿宋" w:cs="Times New Roman"/>
          <w:sz w:val="32"/>
          <w:szCs w:val="32"/>
          <w:highlight w:val="none"/>
          <w:u w:val="none"/>
          <w:shd w:val="clear" w:color="auto" w:fill="auto"/>
          <w:lang w:eastAsia="zh-CN"/>
        </w:rPr>
        <w:t>。</w:t>
      </w:r>
    </w:p>
    <w:p>
      <w:pPr>
        <w:widowControl/>
        <w:numPr>
          <w:ilvl w:val="0"/>
          <w:numId w:val="3"/>
        </w:numPr>
        <w:kinsoku w:val="0"/>
        <w:autoSpaceDE w:val="0"/>
        <w:autoSpaceDN w:val="0"/>
        <w:adjustRightInd w:val="0"/>
        <w:snapToGrid w:val="0"/>
        <w:spacing w:line="360" w:lineRule="auto"/>
        <w:ind w:firstLine="640" w:firstLineChars="200"/>
        <w:textAlignment w:val="baseline"/>
        <w:rPr>
          <w:rFonts w:ascii="仿宋" w:hAnsi="仿宋" w:eastAsia="仿宋" w:cs="仿宋"/>
          <w:b/>
          <w:bCs/>
          <w:sz w:val="32"/>
          <w:szCs w:val="32"/>
          <w:highlight w:val="none"/>
          <w:u w:val="none"/>
          <w:shd w:val="clear" w:color="auto" w:fill="auto"/>
        </w:rPr>
      </w:pPr>
      <w:r>
        <w:rPr>
          <w:rFonts w:hint="eastAsia" w:ascii="仿宋" w:hAnsi="仿宋" w:eastAsia="仿宋" w:cs="Times New Roman"/>
          <w:sz w:val="32"/>
          <w:szCs w:val="32"/>
          <w:highlight w:val="none"/>
          <w:u w:val="none"/>
          <w:shd w:val="clear" w:color="auto" w:fill="auto"/>
        </w:rPr>
        <w:t>鼓励和支持管廊的科学技术研究和创新，推广先进科学技术的应用，提倡采用新技术、新材料和新工艺。</w:t>
      </w:r>
      <w:r>
        <w:rPr>
          <w:rFonts w:ascii="仿宋" w:hAnsi="仿宋" w:eastAsia="仿宋" w:cs="Times New Roman"/>
          <w:sz w:val="32"/>
          <w:szCs w:val="32"/>
          <w:highlight w:val="none"/>
          <w:u w:val="none"/>
          <w:shd w:val="clear" w:color="auto" w:fill="auto"/>
        </w:rPr>
        <w:t>建</w:t>
      </w:r>
      <w:r>
        <w:rPr>
          <w:rFonts w:hint="eastAsia" w:ascii="仿宋" w:hAnsi="仿宋" w:eastAsia="仿宋" w:cs="Times New Roman"/>
          <w:sz w:val="32"/>
          <w:szCs w:val="32"/>
          <w:highlight w:val="none"/>
          <w:u w:val="none"/>
          <w:shd w:val="clear" w:color="auto" w:fill="auto"/>
        </w:rPr>
        <w:t>立</w:t>
      </w:r>
      <w:r>
        <w:rPr>
          <w:rFonts w:ascii="仿宋" w:hAnsi="仿宋" w:eastAsia="仿宋" w:cs="Times New Roman"/>
          <w:sz w:val="32"/>
          <w:szCs w:val="32"/>
          <w:highlight w:val="none"/>
          <w:u w:val="none"/>
          <w:shd w:val="clear" w:color="auto" w:fill="auto"/>
        </w:rPr>
        <w:t>管廊</w:t>
      </w:r>
      <w:r>
        <w:rPr>
          <w:rFonts w:hint="eastAsia" w:ascii="仿宋" w:hAnsi="仿宋" w:eastAsia="仿宋" w:cs="Times New Roman"/>
          <w:sz w:val="32"/>
          <w:szCs w:val="32"/>
          <w:highlight w:val="none"/>
          <w:u w:val="none"/>
          <w:shd w:val="clear" w:color="auto" w:fill="auto"/>
        </w:rPr>
        <w:t>建设、</w:t>
      </w:r>
      <w:r>
        <w:rPr>
          <w:rFonts w:ascii="仿宋" w:hAnsi="仿宋" w:eastAsia="仿宋" w:cs="Times New Roman"/>
          <w:sz w:val="32"/>
          <w:szCs w:val="32"/>
          <w:highlight w:val="none"/>
          <w:u w:val="none"/>
          <w:shd w:val="clear" w:color="auto" w:fill="auto"/>
        </w:rPr>
        <w:t>管理</w:t>
      </w:r>
      <w:r>
        <w:rPr>
          <w:rFonts w:hint="eastAsia" w:ascii="仿宋" w:hAnsi="仿宋" w:eastAsia="仿宋" w:cs="Times New Roman"/>
          <w:sz w:val="32"/>
          <w:szCs w:val="32"/>
          <w:highlight w:val="none"/>
          <w:u w:val="none"/>
          <w:shd w:val="clear" w:color="auto" w:fill="auto"/>
        </w:rPr>
        <w:t>、</w:t>
      </w:r>
      <w:r>
        <w:rPr>
          <w:rFonts w:ascii="仿宋" w:hAnsi="仿宋" w:eastAsia="仿宋" w:cs="Times New Roman"/>
          <w:sz w:val="32"/>
          <w:szCs w:val="32"/>
          <w:highlight w:val="none"/>
          <w:u w:val="none"/>
          <w:shd w:val="clear" w:color="auto" w:fill="auto"/>
        </w:rPr>
        <w:t>运维</w:t>
      </w:r>
      <w:r>
        <w:rPr>
          <w:rFonts w:hint="eastAsia" w:ascii="仿宋" w:hAnsi="仿宋" w:eastAsia="仿宋" w:cs="Times New Roman"/>
          <w:sz w:val="32"/>
          <w:szCs w:val="32"/>
          <w:highlight w:val="none"/>
          <w:u w:val="none"/>
          <w:shd w:val="clear" w:color="auto" w:fill="auto"/>
        </w:rPr>
        <w:t>统一管理</w:t>
      </w:r>
      <w:r>
        <w:rPr>
          <w:rFonts w:ascii="仿宋" w:hAnsi="仿宋" w:eastAsia="仿宋" w:cs="Times New Roman"/>
          <w:sz w:val="32"/>
          <w:szCs w:val="32"/>
          <w:highlight w:val="none"/>
          <w:u w:val="none"/>
          <w:shd w:val="clear" w:color="auto" w:fill="auto"/>
        </w:rPr>
        <w:t>平台，</w:t>
      </w:r>
      <w:r>
        <w:rPr>
          <w:rFonts w:hint="eastAsia" w:ascii="仿宋" w:hAnsi="仿宋" w:eastAsia="仿宋" w:cs="Times New Roman"/>
          <w:sz w:val="32"/>
          <w:szCs w:val="32"/>
          <w:highlight w:val="none"/>
          <w:u w:val="none"/>
          <w:shd w:val="clear" w:color="auto" w:fill="auto"/>
        </w:rPr>
        <w:t>应应实现管廊安全风险监测预警、数据统一管理、信息共享和联动控制。</w:t>
      </w:r>
    </w:p>
    <w:p>
      <w:pPr>
        <w:widowControl/>
        <w:numPr>
          <w:ilvl w:val="0"/>
          <w:numId w:val="0"/>
        </w:numPr>
        <w:kinsoku w:val="0"/>
        <w:autoSpaceDE w:val="0"/>
        <w:autoSpaceDN w:val="0"/>
        <w:adjustRightInd w:val="0"/>
        <w:snapToGrid w:val="0"/>
        <w:spacing w:line="360" w:lineRule="auto"/>
        <w:jc w:val="both"/>
        <w:textAlignment w:val="baseline"/>
        <w:rPr>
          <w:rFonts w:ascii="仿宋" w:hAnsi="仿宋" w:eastAsia="仿宋" w:cs="仿宋"/>
          <w:b/>
          <w:bCs/>
          <w:sz w:val="32"/>
          <w:szCs w:val="32"/>
          <w:highlight w:val="none"/>
          <w:u w:val="none"/>
          <w:shd w:val="clear" w:color="auto" w:fill="auto"/>
        </w:rPr>
      </w:pPr>
    </w:p>
    <w:p>
      <w:pPr>
        <w:numPr>
          <w:ilvl w:val="0"/>
          <w:numId w:val="1"/>
        </w:numPr>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法律责任</w:t>
      </w:r>
    </w:p>
    <w:p>
      <w:pPr>
        <w:ind w:firstLine="643" w:firstLineChars="200"/>
        <w:rPr>
          <w:rFonts w:ascii="仿宋" w:hAnsi="仿宋" w:eastAsia="仿宋" w:cs="Times New Roman"/>
          <w:sz w:val="32"/>
          <w:szCs w:val="32"/>
          <w:highlight w:val="none"/>
          <w:u w:val="none"/>
        </w:rPr>
      </w:pPr>
      <w:r>
        <w:rPr>
          <w:rFonts w:hint="eastAsia" w:ascii="仿宋" w:hAnsi="仿宋" w:eastAsia="仿宋" w:cs="仿宋"/>
          <w:b/>
          <w:bCs/>
          <w:sz w:val="32"/>
          <w:szCs w:val="32"/>
          <w:highlight w:val="none"/>
          <w:u w:val="none"/>
        </w:rPr>
        <w:t>第二十</w:t>
      </w:r>
      <w:r>
        <w:rPr>
          <w:rFonts w:hint="eastAsia" w:ascii="仿宋" w:hAnsi="仿宋" w:eastAsia="仿宋" w:cs="仿宋"/>
          <w:b/>
          <w:bCs/>
          <w:sz w:val="32"/>
          <w:szCs w:val="32"/>
          <w:highlight w:val="none"/>
          <w:u w:val="none"/>
          <w:lang w:eastAsia="zh-CN"/>
        </w:rPr>
        <w:t>八</w:t>
      </w:r>
      <w:r>
        <w:rPr>
          <w:rFonts w:hint="eastAsia" w:ascii="仿宋" w:hAnsi="仿宋" w:eastAsia="仿宋" w:cs="仿宋"/>
          <w:b/>
          <w:bCs/>
          <w:sz w:val="32"/>
          <w:szCs w:val="32"/>
          <w:highlight w:val="none"/>
          <w:u w:val="none"/>
        </w:rPr>
        <w:t xml:space="preserve">条 </w:t>
      </w:r>
      <w:r>
        <w:rPr>
          <w:rFonts w:hint="eastAsia" w:ascii="仿宋" w:hAnsi="仿宋" w:eastAsia="仿宋" w:cs="Times New Roman"/>
          <w:sz w:val="32"/>
          <w:szCs w:val="32"/>
          <w:highlight w:val="none"/>
          <w:u w:val="none"/>
        </w:rPr>
        <w:t>各有关行政部门和单位不履行相关职责，造成公共利益或者其他单位和个人合法权益损害的，依法承担民事责任；造成危害公共安全严重后果，构成犯罪的，依法追究刑事责任。</w:t>
      </w:r>
    </w:p>
    <w:p>
      <w:pPr>
        <w:ind w:firstLine="643" w:firstLineChars="200"/>
        <w:rPr>
          <w:rFonts w:hint="eastAsia" w:ascii="仿宋" w:hAnsi="仿宋" w:eastAsia="仿宋" w:cs="Times New Roman"/>
          <w:sz w:val="32"/>
          <w:szCs w:val="32"/>
          <w:highlight w:val="none"/>
          <w:u w:val="none"/>
        </w:rPr>
      </w:pPr>
      <w:r>
        <w:rPr>
          <w:rFonts w:hint="eastAsia" w:ascii="仿宋" w:hAnsi="仿宋" w:eastAsia="仿宋" w:cs="Times New Roman"/>
          <w:b/>
          <w:bCs/>
          <w:sz w:val="32"/>
          <w:szCs w:val="32"/>
          <w:highlight w:val="none"/>
          <w:u w:val="none"/>
        </w:rPr>
        <w:t>第二十</w:t>
      </w:r>
      <w:r>
        <w:rPr>
          <w:rFonts w:hint="eastAsia" w:ascii="仿宋" w:hAnsi="仿宋" w:eastAsia="仿宋" w:cs="Times New Roman"/>
          <w:b/>
          <w:bCs/>
          <w:sz w:val="32"/>
          <w:szCs w:val="32"/>
          <w:highlight w:val="none"/>
          <w:u w:val="none"/>
          <w:lang w:eastAsia="zh-CN"/>
        </w:rPr>
        <w:t>九</w:t>
      </w:r>
      <w:r>
        <w:rPr>
          <w:rFonts w:hint="eastAsia" w:ascii="仿宋" w:hAnsi="仿宋" w:eastAsia="仿宋" w:cs="Times New Roman"/>
          <w:b/>
          <w:bCs/>
          <w:sz w:val="32"/>
          <w:szCs w:val="32"/>
          <w:highlight w:val="none"/>
          <w:u w:val="none"/>
        </w:rPr>
        <w:t xml:space="preserve">条 </w:t>
      </w:r>
      <w:r>
        <w:rPr>
          <w:rFonts w:hint="eastAsia" w:ascii="仿宋" w:hAnsi="仿宋" w:eastAsia="仿宋" w:cs="Times New Roman"/>
          <w:sz w:val="32"/>
          <w:szCs w:val="32"/>
          <w:highlight w:val="none"/>
          <w:u w:val="none"/>
        </w:rPr>
        <w:t>因第三方造成管廊或入廊管线损坏的，责任方应当向受损方赔偿。其他原因或不可抗力因素造成损坏的，按相关法律法规执行。</w:t>
      </w:r>
    </w:p>
    <w:p>
      <w:pPr>
        <w:ind w:firstLine="640" w:firstLineChars="200"/>
        <w:rPr>
          <w:rFonts w:hint="eastAsia" w:ascii="仿宋" w:hAnsi="仿宋" w:eastAsia="仿宋" w:cs="Times New Roman"/>
          <w:sz w:val="32"/>
          <w:szCs w:val="32"/>
          <w:highlight w:val="none"/>
          <w:u w:val="none"/>
        </w:rPr>
      </w:pPr>
    </w:p>
    <w:p>
      <w:pPr>
        <w:numPr>
          <w:ilvl w:val="0"/>
          <w:numId w:val="1"/>
        </w:numPr>
        <w:jc w:val="center"/>
        <w:rPr>
          <w:rFonts w:ascii="仿宋" w:hAnsi="仿宋" w:eastAsia="仿宋" w:cs="仿宋"/>
          <w:b/>
          <w:bCs/>
          <w:sz w:val="32"/>
          <w:szCs w:val="32"/>
          <w:highlight w:val="none"/>
          <w:u w:val="none"/>
        </w:rPr>
      </w:pPr>
      <w:r>
        <w:rPr>
          <w:rFonts w:hint="eastAsia" w:ascii="仿宋" w:hAnsi="仿宋" w:eastAsia="仿宋" w:cs="仿宋"/>
          <w:b/>
          <w:bCs/>
          <w:sz w:val="32"/>
          <w:szCs w:val="32"/>
          <w:highlight w:val="none"/>
          <w:u w:val="none"/>
        </w:rPr>
        <w:t>附则</w:t>
      </w:r>
    </w:p>
    <w:p>
      <w:pPr>
        <w:ind w:firstLine="643" w:firstLineChars="200"/>
        <w:rPr>
          <w:rFonts w:ascii="仿宋" w:hAnsi="仿宋" w:eastAsia="仿宋" w:cs="Times New Roman"/>
          <w:sz w:val="32"/>
          <w:szCs w:val="32"/>
          <w:highlight w:val="none"/>
          <w:u w:val="none"/>
        </w:rPr>
      </w:pPr>
      <w:r>
        <w:rPr>
          <w:rFonts w:hint="eastAsia" w:ascii="仿宋" w:hAnsi="仿宋" w:eastAsia="仿宋" w:cs="仿宋"/>
          <w:b/>
          <w:bCs/>
          <w:sz w:val="32"/>
          <w:szCs w:val="32"/>
          <w:highlight w:val="none"/>
          <w:u w:val="none"/>
        </w:rPr>
        <w:t>第</w:t>
      </w:r>
      <w:r>
        <w:rPr>
          <w:rFonts w:hint="eastAsia" w:ascii="仿宋" w:hAnsi="仿宋" w:eastAsia="仿宋" w:cs="仿宋"/>
          <w:b/>
          <w:bCs/>
          <w:sz w:val="32"/>
          <w:szCs w:val="32"/>
          <w:highlight w:val="none"/>
          <w:u w:val="none"/>
          <w:lang w:eastAsia="zh-CN"/>
        </w:rPr>
        <w:t>三十</w:t>
      </w:r>
      <w:r>
        <w:rPr>
          <w:rFonts w:hint="eastAsia" w:ascii="仿宋" w:hAnsi="仿宋" w:eastAsia="仿宋" w:cs="仿宋"/>
          <w:b/>
          <w:bCs/>
          <w:sz w:val="32"/>
          <w:szCs w:val="32"/>
          <w:highlight w:val="none"/>
          <w:u w:val="none"/>
        </w:rPr>
        <w:t xml:space="preserve">条 </w:t>
      </w:r>
      <w:r>
        <w:rPr>
          <w:rFonts w:hint="eastAsia" w:ascii="仿宋" w:hAnsi="仿宋" w:eastAsia="仿宋" w:cs="Times New Roman"/>
          <w:sz w:val="32"/>
          <w:szCs w:val="32"/>
          <w:highlight w:val="none"/>
          <w:u w:val="none"/>
        </w:rPr>
        <w:t>各县</w:t>
      </w:r>
      <w:r>
        <w:rPr>
          <w:rFonts w:hint="eastAsia" w:ascii="仿宋" w:hAnsi="仿宋" w:eastAsia="仿宋" w:cs="Times New Roman"/>
          <w:sz w:val="32"/>
          <w:szCs w:val="32"/>
          <w:highlight w:val="none"/>
          <w:u w:val="none"/>
          <w:lang w:eastAsia="zh-CN"/>
        </w:rPr>
        <w:t>区</w:t>
      </w:r>
      <w:r>
        <w:rPr>
          <w:rFonts w:hint="eastAsia" w:ascii="仿宋" w:hAnsi="仿宋" w:eastAsia="仿宋" w:cs="Times New Roman"/>
          <w:sz w:val="32"/>
          <w:szCs w:val="32"/>
          <w:highlight w:val="none"/>
          <w:u w:val="none"/>
        </w:rPr>
        <w:t>可参照本办法执行。</w:t>
      </w:r>
    </w:p>
    <w:p>
      <w:pPr>
        <w:ind w:firstLine="643" w:firstLineChars="200"/>
        <w:rPr>
          <w:rFonts w:hint="eastAsia" w:ascii="仿宋" w:hAnsi="仿宋" w:eastAsia="仿宋" w:cs="Times New Roman"/>
          <w:sz w:val="32"/>
          <w:szCs w:val="32"/>
          <w:highlight w:val="none"/>
          <w:u w:val="none"/>
          <w:lang w:eastAsia="zh-CN"/>
        </w:rPr>
      </w:pPr>
      <w:r>
        <w:rPr>
          <w:rFonts w:hint="eastAsia" w:ascii="仿宋" w:hAnsi="仿宋" w:eastAsia="仿宋" w:cs="Times New Roman"/>
          <w:b/>
          <w:bCs/>
          <w:sz w:val="32"/>
          <w:szCs w:val="32"/>
          <w:highlight w:val="none"/>
          <w:u w:val="none"/>
        </w:rPr>
        <w:t>第</w:t>
      </w:r>
      <w:r>
        <w:rPr>
          <w:rFonts w:hint="eastAsia" w:ascii="仿宋" w:hAnsi="仿宋" w:eastAsia="仿宋" w:cs="Times New Roman"/>
          <w:b/>
          <w:bCs/>
          <w:sz w:val="32"/>
          <w:szCs w:val="32"/>
          <w:highlight w:val="none"/>
          <w:u w:val="none"/>
          <w:lang w:eastAsia="zh-CN"/>
        </w:rPr>
        <w:t>三十一</w:t>
      </w:r>
      <w:r>
        <w:rPr>
          <w:rFonts w:hint="eastAsia" w:ascii="仿宋" w:hAnsi="仿宋" w:eastAsia="仿宋" w:cs="Times New Roman"/>
          <w:b/>
          <w:bCs/>
          <w:sz w:val="32"/>
          <w:szCs w:val="32"/>
          <w:highlight w:val="none"/>
          <w:u w:val="none"/>
        </w:rPr>
        <w:t>条</w:t>
      </w:r>
      <w:r>
        <w:rPr>
          <w:rFonts w:hint="eastAsia" w:ascii="仿宋" w:hAnsi="仿宋" w:eastAsia="仿宋" w:cs="Times New Roman"/>
          <w:sz w:val="32"/>
          <w:szCs w:val="32"/>
          <w:highlight w:val="none"/>
          <w:u w:val="none"/>
        </w:rPr>
        <w:t xml:space="preserve"> 本办法</w:t>
      </w:r>
      <w:r>
        <w:rPr>
          <w:rFonts w:hint="eastAsia" w:ascii="仿宋" w:hAnsi="仿宋" w:eastAsia="仿宋" w:cs="Times New Roman"/>
          <w:sz w:val="32"/>
          <w:szCs w:val="32"/>
          <w:highlight w:val="none"/>
          <w:u w:val="none"/>
          <w:lang w:eastAsia="zh-CN"/>
        </w:rPr>
        <w:t>自</w:t>
      </w:r>
      <w:r>
        <w:rPr>
          <w:rFonts w:hint="eastAsia" w:ascii="仿宋" w:hAnsi="仿宋" w:eastAsia="仿宋" w:cs="Times New Roman"/>
          <w:sz w:val="32"/>
          <w:szCs w:val="32"/>
          <w:highlight w:val="none"/>
          <w:u w:val="none"/>
          <w:lang w:val="en-US" w:eastAsia="zh-CN"/>
        </w:rPr>
        <w:t xml:space="preserve">2024年 月 </w:t>
      </w:r>
      <w:r>
        <w:rPr>
          <w:rFonts w:hint="eastAsia" w:ascii="仿宋" w:hAnsi="仿宋" w:eastAsia="仿宋" w:cs="Times New Roman"/>
          <w:sz w:val="32"/>
          <w:szCs w:val="32"/>
          <w:highlight w:val="none"/>
          <w:u w:val="none"/>
        </w:rPr>
        <w:t>日起施行</w:t>
      </w:r>
      <w:r>
        <w:rPr>
          <w:rFonts w:hint="eastAsia" w:ascii="仿宋" w:hAnsi="仿宋" w:eastAsia="仿宋" w:cs="Times New Roman"/>
          <w:sz w:val="32"/>
          <w:szCs w:val="32"/>
          <w:highlight w:val="none"/>
          <w:u w:val="none"/>
          <w:lang w:eastAsia="zh-CN"/>
        </w:rPr>
        <w:t>。</w:t>
      </w:r>
    </w:p>
    <w:p>
      <w:pPr>
        <w:ind w:firstLine="640" w:firstLineChars="200"/>
        <w:rPr>
          <w:rFonts w:hint="eastAsia" w:ascii="仿宋" w:hAnsi="仿宋" w:eastAsia="仿宋" w:cs="Times New Roman"/>
          <w:sz w:val="32"/>
          <w:szCs w:val="32"/>
          <w:highlight w:val="none"/>
          <w:u w:val="none"/>
          <w:lang w:eastAsia="zh-CN"/>
        </w:rPr>
      </w:pPr>
    </w:p>
    <w:p>
      <w:pPr>
        <w:rPr>
          <w:rFonts w:hint="eastAsia" w:ascii="仿宋" w:hAnsi="仿宋" w:eastAsia="仿宋" w:cs="Times New Roman"/>
          <w:sz w:val="32"/>
          <w:szCs w:val="32"/>
          <w:highlight w:val="none"/>
          <w:u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F08D7"/>
    <w:multiLevelType w:val="singleLevel"/>
    <w:tmpl w:val="959F08D7"/>
    <w:lvl w:ilvl="0" w:tentative="0">
      <w:start w:val="1"/>
      <w:numFmt w:val="chineseCounting"/>
      <w:suff w:val="space"/>
      <w:lvlText w:val="第%1章"/>
      <w:lvlJc w:val="left"/>
      <w:rPr>
        <w:rFonts w:hint="eastAsia"/>
      </w:rPr>
    </w:lvl>
  </w:abstractNum>
  <w:abstractNum w:abstractNumId="1">
    <w:nsid w:val="EEC23F92"/>
    <w:multiLevelType w:val="singleLevel"/>
    <w:tmpl w:val="EEC23F92"/>
    <w:lvl w:ilvl="0" w:tentative="0">
      <w:start w:val="6"/>
      <w:numFmt w:val="chineseCounting"/>
      <w:suff w:val="space"/>
      <w:lvlText w:val="第%1条"/>
      <w:lvlJc w:val="left"/>
      <w:rPr>
        <w:rFonts w:hint="eastAsia"/>
        <w:b/>
        <w:bCs/>
      </w:rPr>
    </w:lvl>
  </w:abstractNum>
  <w:abstractNum w:abstractNumId="2">
    <w:nsid w:val="5C79FA0B"/>
    <w:multiLevelType w:val="singleLevel"/>
    <w:tmpl w:val="5C79FA0B"/>
    <w:lvl w:ilvl="0" w:tentative="0">
      <w:start w:val="4"/>
      <w:numFmt w:val="chineseCounting"/>
      <w:suff w:val="space"/>
      <w:lvlText w:val="第%1条"/>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jA5Yjk1MGM1YWI3ZWQ3OGFlMWFkYWM4NzVjMWYifQ=="/>
  </w:docVars>
  <w:rsids>
    <w:rsidRoot w:val="00000000"/>
    <w:rsid w:val="00586FEC"/>
    <w:rsid w:val="00A8418D"/>
    <w:rsid w:val="00E64C49"/>
    <w:rsid w:val="010D2A54"/>
    <w:rsid w:val="0213766F"/>
    <w:rsid w:val="038720C2"/>
    <w:rsid w:val="03D270B5"/>
    <w:rsid w:val="04B20569"/>
    <w:rsid w:val="05A30D0A"/>
    <w:rsid w:val="075524D7"/>
    <w:rsid w:val="07DC0503"/>
    <w:rsid w:val="080C0DE8"/>
    <w:rsid w:val="086E3851"/>
    <w:rsid w:val="0A526C05"/>
    <w:rsid w:val="0F035DA3"/>
    <w:rsid w:val="10663A95"/>
    <w:rsid w:val="10855BDB"/>
    <w:rsid w:val="11781127"/>
    <w:rsid w:val="124103B1"/>
    <w:rsid w:val="138A3509"/>
    <w:rsid w:val="14F21D0A"/>
    <w:rsid w:val="15CE592F"/>
    <w:rsid w:val="16A40D61"/>
    <w:rsid w:val="18F7519C"/>
    <w:rsid w:val="19D364BA"/>
    <w:rsid w:val="1C1B5646"/>
    <w:rsid w:val="1D44297A"/>
    <w:rsid w:val="1F3507CD"/>
    <w:rsid w:val="215336CA"/>
    <w:rsid w:val="21C9791F"/>
    <w:rsid w:val="22252D7A"/>
    <w:rsid w:val="232E5C5F"/>
    <w:rsid w:val="23AE56EE"/>
    <w:rsid w:val="23C40371"/>
    <w:rsid w:val="27F22EF8"/>
    <w:rsid w:val="282815A3"/>
    <w:rsid w:val="2959369A"/>
    <w:rsid w:val="2B6A66A5"/>
    <w:rsid w:val="2DF857E7"/>
    <w:rsid w:val="306A07A1"/>
    <w:rsid w:val="337C1E39"/>
    <w:rsid w:val="34D523DE"/>
    <w:rsid w:val="35281988"/>
    <w:rsid w:val="35FF4A65"/>
    <w:rsid w:val="369938DF"/>
    <w:rsid w:val="36A54032"/>
    <w:rsid w:val="3ADB0BA6"/>
    <w:rsid w:val="3B651FE2"/>
    <w:rsid w:val="3BA743A8"/>
    <w:rsid w:val="3BE949C1"/>
    <w:rsid w:val="3E430949"/>
    <w:rsid w:val="41534285"/>
    <w:rsid w:val="44531571"/>
    <w:rsid w:val="45012D7B"/>
    <w:rsid w:val="46FA3F26"/>
    <w:rsid w:val="484A3DA7"/>
    <w:rsid w:val="485C04B3"/>
    <w:rsid w:val="4BCF2103"/>
    <w:rsid w:val="4BF76C86"/>
    <w:rsid w:val="4C213D03"/>
    <w:rsid w:val="4FF15A3A"/>
    <w:rsid w:val="523D116B"/>
    <w:rsid w:val="52E86B9B"/>
    <w:rsid w:val="532379F7"/>
    <w:rsid w:val="5472334E"/>
    <w:rsid w:val="54A84FC1"/>
    <w:rsid w:val="55AE6607"/>
    <w:rsid w:val="5626082F"/>
    <w:rsid w:val="58584F50"/>
    <w:rsid w:val="5AC07302"/>
    <w:rsid w:val="5B0B62AA"/>
    <w:rsid w:val="5B59067D"/>
    <w:rsid w:val="5B687259"/>
    <w:rsid w:val="5B721E85"/>
    <w:rsid w:val="5B8A5421"/>
    <w:rsid w:val="5C78171D"/>
    <w:rsid w:val="5C8F1D6F"/>
    <w:rsid w:val="5EA627E9"/>
    <w:rsid w:val="61842912"/>
    <w:rsid w:val="61C751C4"/>
    <w:rsid w:val="632A1297"/>
    <w:rsid w:val="65314B5F"/>
    <w:rsid w:val="659E2D7F"/>
    <w:rsid w:val="670342D9"/>
    <w:rsid w:val="67AE693B"/>
    <w:rsid w:val="67F24A7A"/>
    <w:rsid w:val="68517957"/>
    <w:rsid w:val="6A955B90"/>
    <w:rsid w:val="6D8A7502"/>
    <w:rsid w:val="6EAD34A8"/>
    <w:rsid w:val="6EF72976"/>
    <w:rsid w:val="6FA272CD"/>
    <w:rsid w:val="703B2D36"/>
    <w:rsid w:val="74634609"/>
    <w:rsid w:val="7631583A"/>
    <w:rsid w:val="773F782D"/>
    <w:rsid w:val="78374A99"/>
    <w:rsid w:val="7BDA1655"/>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autoRedefine/>
    <w:qFormat/>
    <w:uiPriority w:val="0"/>
    <w:rPr>
      <w:rFonts w:hint="eastAsia" w:ascii="宋体" w:hAnsi="宋体" w:eastAsia="宋体" w:cs="宋体"/>
      <w:color w:val="000000"/>
      <w:sz w:val="22"/>
      <w:szCs w:val="22"/>
      <w:u w:val="none"/>
    </w:rPr>
  </w:style>
  <w:style w:type="character" w:customStyle="1" w:styleId="7">
    <w:name w:val="font31"/>
    <w:basedOn w:val="5"/>
    <w:autoRedefine/>
    <w:qFormat/>
    <w:uiPriority w:val="0"/>
    <w:rPr>
      <w:rFonts w:hint="eastAsia" w:ascii="宋体" w:hAnsi="宋体" w:eastAsia="宋体" w:cs="宋体"/>
      <w:b/>
      <w:bCs/>
      <w:color w:val="000000"/>
      <w:sz w:val="22"/>
      <w:szCs w:val="22"/>
      <w:u w:val="none"/>
    </w:rPr>
  </w:style>
  <w:style w:type="character" w:customStyle="1" w:styleId="8">
    <w:name w:val="font2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6906</Words>
  <Characters>6989</Characters>
  <Lines>0</Lines>
  <Paragraphs>0</Paragraphs>
  <TotalTime>44</TotalTime>
  <ScaleCrop>false</ScaleCrop>
  <LinksUpToDate>false</LinksUpToDate>
  <CharactersWithSpaces>7432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2023-04-06T01:06:00Z</dcterms:created>
  <dc:creator>Lenovo</dc:creator>
  <cp:lastModifiedBy>凡人，不凡</cp:lastModifiedBy>
  <cp:lastPrinted>2024-03-11T02:23:00Z</cp:lastPrinted>
  <dcterms:modified xsi:type="dcterms:W3CDTF">2024-03-11T04:06:04Z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A5E1A94949DF4CD0A6D368D5425FD140_13</vt:lpwstr>
  </property>
</Properties>
</file>